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90" w:rsidRPr="00FD746A" w:rsidRDefault="008037B8" w:rsidP="006802BA">
      <w:pPr>
        <w:pStyle w:val="1"/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 xml:space="preserve">Основные темы обращений в региональные центры НП «ЖКХ Контроль» </w:t>
      </w:r>
      <w:r w:rsidR="00527AE1" w:rsidRPr="00FD74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3AA" w:rsidRPr="00FD746A">
        <w:rPr>
          <w:rFonts w:ascii="Times New Roman" w:eastAsia="Calibri" w:hAnsi="Times New Roman" w:cs="Times New Roman"/>
          <w:sz w:val="24"/>
          <w:szCs w:val="24"/>
        </w:rPr>
        <w:t xml:space="preserve">(Рейтинг) </w:t>
      </w:r>
      <w:r w:rsidR="00EA2190" w:rsidRPr="00FD746A">
        <w:rPr>
          <w:rFonts w:ascii="Times New Roman" w:eastAsia="Calibri" w:hAnsi="Times New Roman" w:cs="Times New Roman"/>
          <w:sz w:val="24"/>
          <w:szCs w:val="24"/>
        </w:rPr>
        <w:t xml:space="preserve">по итогам </w:t>
      </w:r>
      <w:r w:rsidR="001744C2" w:rsidRPr="00FD746A">
        <w:rPr>
          <w:rFonts w:ascii="Times New Roman" w:eastAsia="Calibri" w:hAnsi="Times New Roman" w:cs="Times New Roman"/>
          <w:sz w:val="24"/>
          <w:szCs w:val="24"/>
        </w:rPr>
        <w:t xml:space="preserve">2016 </w:t>
      </w:r>
      <w:r w:rsidR="00EA2190" w:rsidRPr="00FD746A">
        <w:rPr>
          <w:rFonts w:ascii="Times New Roman" w:eastAsia="Calibri" w:hAnsi="Times New Roman" w:cs="Times New Roman"/>
          <w:sz w:val="24"/>
          <w:szCs w:val="24"/>
        </w:rPr>
        <w:t>года</w:t>
      </w:r>
    </w:p>
    <w:p w:rsidR="00792745" w:rsidRPr="00FD746A" w:rsidRDefault="00792745" w:rsidP="006802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BE3" w:rsidRPr="00FD746A" w:rsidRDefault="00935BE3" w:rsidP="00935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В течение 2016 года на горячие линии региональных центров общественного контроля в сфере ЖКХ и в приемную Национального центра «ЖКХ Контроль» поступило 32 315 обращений. На основании анализа данных обращений Некоммерческим партнерством «Национальный центр общественного контроля в сфере ЖКХ «ЖКХ Контроль</w:t>
      </w:r>
      <w:r w:rsidR="000B66A6">
        <w:rPr>
          <w:rFonts w:ascii="Times New Roman" w:hAnsi="Times New Roman"/>
          <w:sz w:val="24"/>
          <w:szCs w:val="24"/>
        </w:rPr>
        <w:t xml:space="preserve">» был составлен список самых часто задаваемых вопросов </w:t>
      </w:r>
      <w:r w:rsidRPr="00FD746A">
        <w:rPr>
          <w:rFonts w:ascii="Times New Roman" w:hAnsi="Times New Roman"/>
          <w:sz w:val="24"/>
          <w:szCs w:val="24"/>
        </w:rPr>
        <w:t>в сфере ЖКХ. Итоги анализа приведены в сводной таблице и диаграммах ниже.</w:t>
      </w:r>
    </w:p>
    <w:p w:rsidR="00935BE3" w:rsidRPr="00FD746A" w:rsidRDefault="00935BE3" w:rsidP="00935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5BE3" w:rsidRPr="00FD746A" w:rsidRDefault="00935BE3" w:rsidP="00935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46A">
        <w:rPr>
          <w:rFonts w:ascii="Times New Roman" w:hAnsi="Times New Roman"/>
          <w:b/>
          <w:sz w:val="24"/>
          <w:szCs w:val="24"/>
        </w:rPr>
        <w:t xml:space="preserve">Что больше всего </w:t>
      </w:r>
      <w:r w:rsidR="000B66A6">
        <w:rPr>
          <w:rFonts w:ascii="Times New Roman" w:hAnsi="Times New Roman"/>
          <w:b/>
          <w:sz w:val="24"/>
          <w:szCs w:val="24"/>
        </w:rPr>
        <w:t>интересует</w:t>
      </w:r>
      <w:r w:rsidRPr="00FD746A">
        <w:rPr>
          <w:rFonts w:ascii="Times New Roman" w:hAnsi="Times New Roman"/>
          <w:b/>
          <w:sz w:val="24"/>
          <w:szCs w:val="24"/>
        </w:rPr>
        <w:t xml:space="preserve"> граждан России в жилищно-коммунальной сфере по итогам 2016 года?</w:t>
      </w:r>
    </w:p>
    <w:p w:rsidR="00935BE3" w:rsidRPr="00FD746A" w:rsidRDefault="00935BE3" w:rsidP="00935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46A">
        <w:rPr>
          <w:rFonts w:ascii="Times New Roman" w:hAnsi="Times New Roman"/>
          <w:b/>
          <w:sz w:val="24"/>
          <w:szCs w:val="24"/>
        </w:rPr>
        <w:t>(ТОП-10 тем обращений по версии НП «ЖКХ Контроль»</w:t>
      </w:r>
      <w:r w:rsidR="00642125" w:rsidRPr="00FD746A">
        <w:rPr>
          <w:rFonts w:ascii="Times New Roman" w:hAnsi="Times New Roman"/>
          <w:b/>
          <w:sz w:val="24"/>
          <w:szCs w:val="24"/>
        </w:rPr>
        <w:t xml:space="preserve"> в 2015 и 2016 году</w:t>
      </w:r>
      <w:r w:rsidRPr="00FD746A">
        <w:rPr>
          <w:rFonts w:ascii="Times New Roman" w:hAnsi="Times New Roman"/>
          <w:b/>
          <w:sz w:val="24"/>
          <w:szCs w:val="24"/>
        </w:rPr>
        <w:t>)</w:t>
      </w:r>
    </w:p>
    <w:p w:rsidR="00935BE3" w:rsidRPr="00FD746A" w:rsidRDefault="00935BE3" w:rsidP="00935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7"/>
        <w:gridCol w:w="3571"/>
        <w:gridCol w:w="2338"/>
        <w:gridCol w:w="1843"/>
      </w:tblGrid>
      <w:tr w:rsidR="00935BE3" w:rsidRPr="00FD746A" w:rsidTr="00881C6A">
        <w:tc>
          <w:tcPr>
            <w:tcW w:w="1287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>Позиция в рейтинге</w:t>
            </w:r>
          </w:p>
        </w:tc>
        <w:tc>
          <w:tcPr>
            <w:tcW w:w="3571" w:type="dxa"/>
          </w:tcPr>
          <w:p w:rsidR="00935BE3" w:rsidRPr="00FD746A" w:rsidRDefault="00935BE3" w:rsidP="000B66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</w:t>
            </w:r>
            <w:r w:rsidR="000B66A6">
              <w:rPr>
                <w:rFonts w:ascii="Times New Roman" w:hAnsi="Times New Roman"/>
                <w:b/>
                <w:sz w:val="24"/>
                <w:szCs w:val="24"/>
              </w:rPr>
              <w:t>вопросов</w:t>
            </w: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0B66A6">
              <w:rPr>
                <w:rFonts w:ascii="Times New Roman" w:hAnsi="Times New Roman"/>
                <w:b/>
                <w:sz w:val="24"/>
                <w:szCs w:val="24"/>
              </w:rPr>
              <w:t>интересующих</w:t>
            </w: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 xml:space="preserve"> граждан</w:t>
            </w:r>
          </w:p>
        </w:tc>
        <w:tc>
          <w:tcPr>
            <w:tcW w:w="2338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>Количество обращений и % от кол-ва обращений</w:t>
            </w:r>
          </w:p>
        </w:tc>
        <w:tc>
          <w:tcPr>
            <w:tcW w:w="1843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2015 год</w:t>
            </w:r>
          </w:p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>Количество обращений и % от кол-ва обращений, место в рейтинге</w:t>
            </w:r>
          </w:p>
        </w:tc>
      </w:tr>
      <w:tr w:rsidR="00935BE3" w:rsidRPr="00FD746A" w:rsidTr="00881C6A">
        <w:tc>
          <w:tcPr>
            <w:tcW w:w="1287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571" w:type="dxa"/>
          </w:tcPr>
          <w:p w:rsidR="00935BE3" w:rsidRPr="00FD746A" w:rsidRDefault="00935BE3" w:rsidP="00881C6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>Качество коммунальных услуг</w:t>
            </w:r>
          </w:p>
        </w:tc>
        <w:tc>
          <w:tcPr>
            <w:tcW w:w="2338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7069 (22 %)</w:t>
            </w:r>
          </w:p>
        </w:tc>
        <w:tc>
          <w:tcPr>
            <w:tcW w:w="1843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>4134 (12,9 %)</w:t>
            </w:r>
          </w:p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935BE3" w:rsidRPr="00FD746A" w:rsidTr="00881C6A">
        <w:tc>
          <w:tcPr>
            <w:tcW w:w="1287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571" w:type="dxa"/>
          </w:tcPr>
          <w:p w:rsidR="00935BE3" w:rsidRPr="00FD746A" w:rsidRDefault="00935BE3" w:rsidP="00881C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 xml:space="preserve">Начисление платы за ЖКУ </w:t>
            </w:r>
          </w:p>
        </w:tc>
        <w:tc>
          <w:tcPr>
            <w:tcW w:w="2338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color w:val="92D050"/>
                <w:sz w:val="24"/>
                <w:szCs w:val="24"/>
              </w:rPr>
              <w:t>5581 (17,37%)</w:t>
            </w:r>
          </w:p>
        </w:tc>
        <w:tc>
          <w:tcPr>
            <w:tcW w:w="1843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>7648 (23,9 %) – 1 место</w:t>
            </w:r>
          </w:p>
        </w:tc>
      </w:tr>
      <w:tr w:rsidR="00935BE3" w:rsidRPr="00FD746A" w:rsidTr="00881C6A">
        <w:tc>
          <w:tcPr>
            <w:tcW w:w="1287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571" w:type="dxa"/>
          </w:tcPr>
          <w:p w:rsidR="00935BE3" w:rsidRPr="00FD746A" w:rsidRDefault="00935BE3" w:rsidP="00881C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>Управление МКД</w:t>
            </w:r>
          </w:p>
        </w:tc>
        <w:tc>
          <w:tcPr>
            <w:tcW w:w="2338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color w:val="92D050"/>
                <w:sz w:val="24"/>
                <w:szCs w:val="24"/>
              </w:rPr>
              <w:t>4158 (12,94%)</w:t>
            </w:r>
          </w:p>
        </w:tc>
        <w:tc>
          <w:tcPr>
            <w:tcW w:w="1843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>5776 (18,1 %) – 2 место</w:t>
            </w:r>
          </w:p>
        </w:tc>
      </w:tr>
      <w:tr w:rsidR="00935BE3" w:rsidRPr="00FD746A" w:rsidTr="00881C6A">
        <w:tc>
          <w:tcPr>
            <w:tcW w:w="1287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571" w:type="dxa"/>
          </w:tcPr>
          <w:p w:rsidR="00935BE3" w:rsidRPr="00FD746A" w:rsidRDefault="000B66A6" w:rsidP="00881C6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935BE3" w:rsidRPr="00FD746A">
              <w:rPr>
                <w:rFonts w:ascii="Times New Roman" w:hAnsi="Times New Roman"/>
                <w:b/>
                <w:sz w:val="24"/>
                <w:szCs w:val="24"/>
              </w:rPr>
              <w:t>остояние МКД</w:t>
            </w:r>
          </w:p>
        </w:tc>
        <w:tc>
          <w:tcPr>
            <w:tcW w:w="2338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3851 (11,98%)</w:t>
            </w:r>
          </w:p>
        </w:tc>
        <w:tc>
          <w:tcPr>
            <w:tcW w:w="1843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>3511 (11 %) – 5 место</w:t>
            </w:r>
          </w:p>
        </w:tc>
      </w:tr>
      <w:tr w:rsidR="00935BE3" w:rsidRPr="00FD746A" w:rsidTr="00881C6A">
        <w:tc>
          <w:tcPr>
            <w:tcW w:w="1287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571" w:type="dxa"/>
          </w:tcPr>
          <w:p w:rsidR="00935BE3" w:rsidRPr="00FD746A" w:rsidRDefault="00935BE3" w:rsidP="00881C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>Капитальный ремонт</w:t>
            </w:r>
          </w:p>
        </w:tc>
        <w:tc>
          <w:tcPr>
            <w:tcW w:w="2338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color w:val="92D050"/>
                <w:sz w:val="24"/>
                <w:szCs w:val="24"/>
              </w:rPr>
              <w:t>3394 (10,56%)</w:t>
            </w:r>
          </w:p>
        </w:tc>
        <w:tc>
          <w:tcPr>
            <w:tcW w:w="1843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>3981 (12,4 %) – 4 место</w:t>
            </w:r>
          </w:p>
        </w:tc>
      </w:tr>
      <w:tr w:rsidR="00935BE3" w:rsidRPr="00FD746A" w:rsidTr="00881C6A">
        <w:tc>
          <w:tcPr>
            <w:tcW w:w="1287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571" w:type="dxa"/>
          </w:tcPr>
          <w:p w:rsidR="00935BE3" w:rsidRPr="00FD746A" w:rsidRDefault="000B66A6" w:rsidP="00881C6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935BE3" w:rsidRPr="00FD746A">
              <w:rPr>
                <w:rFonts w:ascii="Times New Roman" w:hAnsi="Times New Roman"/>
                <w:b/>
                <w:sz w:val="24"/>
                <w:szCs w:val="24"/>
              </w:rPr>
              <w:t>ридомовое благоустройство</w:t>
            </w:r>
          </w:p>
        </w:tc>
        <w:tc>
          <w:tcPr>
            <w:tcW w:w="2338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1550</w:t>
            </w: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 xml:space="preserve"> (4,8%)</w:t>
            </w:r>
          </w:p>
        </w:tc>
        <w:tc>
          <w:tcPr>
            <w:tcW w:w="1843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>1150 (3,6 %) – 6 место</w:t>
            </w:r>
          </w:p>
        </w:tc>
      </w:tr>
      <w:tr w:rsidR="00935BE3" w:rsidRPr="00FD746A" w:rsidTr="00881C6A">
        <w:tc>
          <w:tcPr>
            <w:tcW w:w="1287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571" w:type="dxa"/>
          </w:tcPr>
          <w:p w:rsidR="00935BE3" w:rsidRPr="00FD746A" w:rsidRDefault="000B66A6" w:rsidP="000B66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про приборы</w:t>
            </w:r>
            <w:r w:rsidR="00935BE3" w:rsidRPr="00FD746A">
              <w:rPr>
                <w:rFonts w:ascii="Times New Roman" w:hAnsi="Times New Roman"/>
                <w:b/>
                <w:sz w:val="24"/>
                <w:szCs w:val="24"/>
              </w:rPr>
              <w:t xml:space="preserve"> учета</w:t>
            </w:r>
          </w:p>
        </w:tc>
        <w:tc>
          <w:tcPr>
            <w:tcW w:w="2338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>854 (2,66%)</w:t>
            </w:r>
          </w:p>
        </w:tc>
        <w:tc>
          <w:tcPr>
            <w:tcW w:w="1843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>845 (2,6 %) – 7 место</w:t>
            </w:r>
          </w:p>
        </w:tc>
      </w:tr>
      <w:tr w:rsidR="00935BE3" w:rsidRPr="00FD746A" w:rsidTr="00881C6A">
        <w:tc>
          <w:tcPr>
            <w:tcW w:w="1287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571" w:type="dxa"/>
          </w:tcPr>
          <w:p w:rsidR="00935BE3" w:rsidRPr="00FD746A" w:rsidRDefault="000B66A6" w:rsidP="000B66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r w:rsidR="00935BE3" w:rsidRPr="00FD746A">
              <w:rPr>
                <w:rFonts w:ascii="Times New Roman" w:hAnsi="Times New Roman"/>
                <w:b/>
                <w:sz w:val="24"/>
                <w:szCs w:val="24"/>
              </w:rPr>
              <w:t xml:space="preserve"> уполномоченных органов власти</w:t>
            </w:r>
          </w:p>
        </w:tc>
        <w:tc>
          <w:tcPr>
            <w:tcW w:w="2338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422</w:t>
            </w: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 xml:space="preserve"> (1,31%)</w:t>
            </w:r>
          </w:p>
        </w:tc>
        <w:tc>
          <w:tcPr>
            <w:tcW w:w="1843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>61 (0,2 %) – 9 место</w:t>
            </w:r>
          </w:p>
        </w:tc>
      </w:tr>
      <w:tr w:rsidR="00935BE3" w:rsidRPr="00FD746A" w:rsidTr="00881C6A">
        <w:tc>
          <w:tcPr>
            <w:tcW w:w="1287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571" w:type="dxa"/>
          </w:tcPr>
          <w:p w:rsidR="00935BE3" w:rsidRPr="00FD746A" w:rsidRDefault="00935BE3" w:rsidP="00881C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>Аварийное и ветхое жилье</w:t>
            </w:r>
          </w:p>
        </w:tc>
        <w:tc>
          <w:tcPr>
            <w:tcW w:w="2338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color w:val="92D050"/>
                <w:sz w:val="24"/>
                <w:szCs w:val="24"/>
              </w:rPr>
              <w:t>363</w:t>
            </w: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 xml:space="preserve"> (1,13%)</w:t>
            </w:r>
          </w:p>
        </w:tc>
        <w:tc>
          <w:tcPr>
            <w:tcW w:w="1843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>499 (1,6 %) – 8 место</w:t>
            </w:r>
          </w:p>
        </w:tc>
      </w:tr>
      <w:tr w:rsidR="00935BE3" w:rsidRPr="00FD746A" w:rsidTr="00881C6A">
        <w:tc>
          <w:tcPr>
            <w:tcW w:w="1287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571" w:type="dxa"/>
          </w:tcPr>
          <w:p w:rsidR="00935BE3" w:rsidRPr="00FD746A" w:rsidRDefault="00935BE3" w:rsidP="00881C6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>Иные</w:t>
            </w:r>
          </w:p>
        </w:tc>
        <w:tc>
          <w:tcPr>
            <w:tcW w:w="2338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>4893 (15,23%)</w:t>
            </w:r>
          </w:p>
        </w:tc>
        <w:tc>
          <w:tcPr>
            <w:tcW w:w="1843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>4374 (13,7 %)</w:t>
            </w:r>
          </w:p>
        </w:tc>
      </w:tr>
      <w:tr w:rsidR="00935BE3" w:rsidRPr="00FD746A" w:rsidTr="00881C6A">
        <w:tc>
          <w:tcPr>
            <w:tcW w:w="1287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935BE3" w:rsidRPr="00FD746A" w:rsidRDefault="00935BE3" w:rsidP="00881C6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8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>32135</w:t>
            </w:r>
          </w:p>
        </w:tc>
        <w:tc>
          <w:tcPr>
            <w:tcW w:w="1843" w:type="dxa"/>
          </w:tcPr>
          <w:p w:rsidR="00935BE3" w:rsidRPr="00FD746A" w:rsidRDefault="00935BE3" w:rsidP="00881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935BE3" w:rsidRPr="00FD746A" w:rsidRDefault="00935BE3" w:rsidP="00935BE3">
      <w:pPr>
        <w:rPr>
          <w:rFonts w:ascii="Times New Roman" w:hAnsi="Times New Roman"/>
          <w:sz w:val="24"/>
          <w:szCs w:val="24"/>
        </w:rPr>
      </w:pPr>
    </w:p>
    <w:p w:rsidR="006802BA" w:rsidRPr="00FD746A" w:rsidRDefault="006802BA" w:rsidP="00680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0D32" w:rsidRDefault="000A0D32" w:rsidP="00680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0D32" w:rsidRDefault="000A0D32" w:rsidP="00680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0D32" w:rsidRDefault="000A0D32" w:rsidP="00680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0D32" w:rsidRDefault="000A0D32" w:rsidP="00680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0D32" w:rsidRDefault="000A0D32" w:rsidP="00680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02BA" w:rsidRDefault="00FD746A" w:rsidP="00680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46A">
        <w:rPr>
          <w:rFonts w:ascii="Times New Roman" w:hAnsi="Times New Roman"/>
          <w:b/>
          <w:sz w:val="24"/>
          <w:szCs w:val="24"/>
        </w:rPr>
        <w:t>Поквартальный рейтинг за 2016 г.</w:t>
      </w:r>
    </w:p>
    <w:p w:rsidR="000A0D32" w:rsidRPr="00FD746A" w:rsidRDefault="000A0D32" w:rsidP="00680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01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135"/>
        <w:gridCol w:w="850"/>
        <w:gridCol w:w="993"/>
        <w:gridCol w:w="1134"/>
        <w:gridCol w:w="850"/>
        <w:gridCol w:w="851"/>
        <w:gridCol w:w="708"/>
        <w:gridCol w:w="993"/>
        <w:gridCol w:w="850"/>
        <w:gridCol w:w="850"/>
        <w:gridCol w:w="993"/>
        <w:gridCol w:w="817"/>
      </w:tblGrid>
      <w:tr w:rsidR="00FD746A" w:rsidRPr="00FD746A" w:rsidTr="00FD746A">
        <w:trPr>
          <w:trHeight w:val="22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46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ериод</w:t>
            </w:r>
            <w:r w:rsidRPr="00FD746A">
              <w:rPr>
                <w:rFonts w:ascii="Times New Roman" w:eastAsia="Times New Roman" w:hAnsi="Times New Roman"/>
                <w:sz w:val="24"/>
                <w:szCs w:val="24"/>
              </w:rPr>
              <w:t xml:space="preserve"> 2016 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46A">
              <w:rPr>
                <w:rFonts w:ascii="Times New Roman" w:eastAsia="Times New Roman" w:hAnsi="Times New Roman"/>
                <w:sz w:val="24"/>
                <w:szCs w:val="24"/>
              </w:rPr>
              <w:t>Качество комму</w:t>
            </w: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ind w:lef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 xml:space="preserve">Начисление платы за ЖКУ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0B66A6" w:rsidP="009942E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FD746A" w:rsidRPr="009017D2">
              <w:rPr>
                <w:rFonts w:ascii="Times New Roman" w:eastAsia="Times New Roman" w:hAnsi="Times New Roman"/>
                <w:sz w:val="24"/>
                <w:szCs w:val="24"/>
              </w:rPr>
              <w:t>остояние МКД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46A">
              <w:rPr>
                <w:rFonts w:ascii="Times New Roman" w:eastAsia="Times New Roman" w:hAnsi="Times New Roman"/>
                <w:sz w:val="24"/>
                <w:szCs w:val="24"/>
              </w:rPr>
              <w:t>Капиталь</w:t>
            </w: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ный ремонт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0B66A6" w:rsidP="009942E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FD746A" w:rsidRPr="009017D2">
              <w:rPr>
                <w:rFonts w:ascii="Times New Roman" w:eastAsia="Times New Roman" w:hAnsi="Times New Roman"/>
                <w:sz w:val="24"/>
                <w:szCs w:val="24"/>
              </w:rPr>
              <w:t>ридомовое 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0B66A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прибор</w:t>
            </w:r>
            <w:r w:rsidR="000B66A6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0B66A6" w:rsidP="009942E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действия</w:t>
            </w:r>
            <w:r w:rsidR="00FD746A" w:rsidRPr="009017D2">
              <w:rPr>
                <w:rFonts w:ascii="Times New Roman" w:eastAsia="Times New Roman" w:hAnsi="Times New Roman"/>
                <w:sz w:val="24"/>
                <w:szCs w:val="24"/>
              </w:rPr>
              <w:t xml:space="preserve"> уполномоченных органов власти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Аварийное и ветхое жилье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Иные темы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46A" w:rsidRPr="009017D2" w:rsidRDefault="00FD746A" w:rsidP="009942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746A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46A" w:rsidRPr="00FD746A" w:rsidTr="00FD746A">
        <w:trPr>
          <w:trHeight w:val="5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46A">
              <w:rPr>
                <w:rFonts w:ascii="Times New Roman" w:eastAsia="Times New Roman" w:hAnsi="Times New Roman"/>
                <w:sz w:val="24"/>
                <w:szCs w:val="24"/>
              </w:rPr>
              <w:t xml:space="preserve">I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2264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1479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1155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1107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b/>
                <w:sz w:val="24"/>
                <w:szCs w:val="24"/>
              </w:rPr>
              <w:t>8644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46A" w:rsidRPr="00FD746A" w:rsidTr="00FD746A">
        <w:trPr>
          <w:trHeight w:val="5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46A">
              <w:rPr>
                <w:rFonts w:ascii="Times New Roman" w:eastAsia="Times New Roman" w:hAnsi="Times New Roman"/>
                <w:sz w:val="24"/>
                <w:szCs w:val="24"/>
              </w:rPr>
              <w:t xml:space="preserve">II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1773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1475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1397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b/>
                <w:sz w:val="24"/>
                <w:szCs w:val="24"/>
              </w:rPr>
              <w:t>8007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46A" w:rsidRPr="00FD746A" w:rsidTr="00FD746A">
        <w:trPr>
          <w:trHeight w:val="5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46A">
              <w:rPr>
                <w:rFonts w:ascii="Times New Roman" w:eastAsia="Times New Roman" w:hAnsi="Times New Roman"/>
                <w:sz w:val="24"/>
                <w:szCs w:val="24"/>
              </w:rPr>
              <w:t xml:space="preserve">III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1531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1287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1186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1279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b/>
                <w:sz w:val="24"/>
                <w:szCs w:val="24"/>
              </w:rPr>
              <w:t>7565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46A" w:rsidRPr="00FD746A" w:rsidTr="00FD746A">
        <w:trPr>
          <w:trHeight w:val="5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4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 w:rsidRPr="00FD74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1703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1501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b/>
                <w:sz w:val="24"/>
                <w:szCs w:val="24"/>
              </w:rPr>
              <w:t>7919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46A" w:rsidRPr="00FD746A" w:rsidTr="00FD746A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7069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5581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4158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3851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3394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sz w:val="24"/>
                <w:szCs w:val="24"/>
              </w:rPr>
              <w:t>4893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b/>
                <w:sz w:val="24"/>
                <w:szCs w:val="24"/>
              </w:rPr>
              <w:t>32135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46A" w:rsidRPr="00FD746A" w:rsidTr="00FD746A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 </w:t>
            </w:r>
            <w:r w:rsidRPr="00FD74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15,23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9017D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100,00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46A" w:rsidRPr="00FD746A" w:rsidTr="00FD746A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46A" w:rsidRPr="009017D2" w:rsidRDefault="00FD746A" w:rsidP="009942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D746A" w:rsidRPr="00FD746A" w:rsidRDefault="00FD746A" w:rsidP="00FD746A">
      <w:pPr>
        <w:rPr>
          <w:rFonts w:ascii="Times New Roman" w:hAnsi="Times New Roman"/>
          <w:sz w:val="24"/>
          <w:szCs w:val="24"/>
        </w:rPr>
      </w:pPr>
    </w:p>
    <w:p w:rsidR="00935BE3" w:rsidRPr="00FD746A" w:rsidRDefault="00935BE3" w:rsidP="00FD7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46A">
        <w:rPr>
          <w:rFonts w:ascii="Times New Roman" w:hAnsi="Times New Roman"/>
          <w:b/>
          <w:sz w:val="24"/>
          <w:szCs w:val="24"/>
        </w:rPr>
        <w:t>Общие выводы:</w:t>
      </w:r>
    </w:p>
    <w:p w:rsidR="00FD746A" w:rsidRPr="00FD746A" w:rsidRDefault="00FD746A" w:rsidP="00FD7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BE3" w:rsidRPr="00FD746A" w:rsidRDefault="00935BE3" w:rsidP="00935BE3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 xml:space="preserve">Впервые за время составления рейтинга (с 2014 года) </w:t>
      </w:r>
      <w:r w:rsidR="000B66A6">
        <w:rPr>
          <w:rFonts w:ascii="Times New Roman" w:hAnsi="Times New Roman"/>
          <w:sz w:val="24"/>
          <w:szCs w:val="24"/>
        </w:rPr>
        <w:t>вопросы</w:t>
      </w:r>
      <w:r w:rsidRPr="00FD746A">
        <w:rPr>
          <w:rFonts w:ascii="Times New Roman" w:hAnsi="Times New Roman"/>
          <w:sz w:val="24"/>
          <w:szCs w:val="24"/>
        </w:rPr>
        <w:t xml:space="preserve"> начисления платы за жилищно-коммунальные услуги переста</w:t>
      </w:r>
      <w:r w:rsidR="000B66A6">
        <w:rPr>
          <w:rFonts w:ascii="Times New Roman" w:hAnsi="Times New Roman"/>
          <w:sz w:val="24"/>
          <w:szCs w:val="24"/>
        </w:rPr>
        <w:t>ли</w:t>
      </w:r>
      <w:r w:rsidRPr="00FD746A">
        <w:rPr>
          <w:rFonts w:ascii="Times New Roman" w:hAnsi="Times New Roman"/>
          <w:sz w:val="24"/>
          <w:szCs w:val="24"/>
        </w:rPr>
        <w:t xml:space="preserve"> быть</w:t>
      </w:r>
      <w:r w:rsidR="000B66A6">
        <w:rPr>
          <w:rFonts w:ascii="Times New Roman" w:hAnsi="Times New Roman"/>
          <w:sz w:val="24"/>
          <w:szCs w:val="24"/>
        </w:rPr>
        <w:t xml:space="preserve"> самыми часто задаваемыми</w:t>
      </w:r>
      <w:r w:rsidRPr="00FD746A">
        <w:rPr>
          <w:rFonts w:ascii="Times New Roman" w:hAnsi="Times New Roman"/>
          <w:sz w:val="24"/>
          <w:szCs w:val="24"/>
        </w:rPr>
        <w:t>. НП «ЖКХ Контроль» связывает этот факт с введением среднесрочного планирования при формировании тарифов, а также с тем, что в 2016 год</w:t>
      </w:r>
      <w:r w:rsidR="009241A3">
        <w:rPr>
          <w:rFonts w:ascii="Times New Roman" w:hAnsi="Times New Roman"/>
          <w:sz w:val="24"/>
          <w:szCs w:val="24"/>
        </w:rPr>
        <w:t xml:space="preserve"> ограничения, установленные</w:t>
      </w:r>
      <w:r w:rsidRPr="00FD746A">
        <w:rPr>
          <w:rFonts w:ascii="Times New Roman" w:hAnsi="Times New Roman"/>
          <w:sz w:val="24"/>
          <w:szCs w:val="24"/>
        </w:rPr>
        <w:t xml:space="preserve"> для роста коммунальных пла</w:t>
      </w:r>
      <w:r w:rsidR="0024032B" w:rsidRPr="00FD746A">
        <w:rPr>
          <w:rFonts w:ascii="Times New Roman" w:hAnsi="Times New Roman"/>
          <w:sz w:val="24"/>
          <w:szCs w:val="24"/>
        </w:rPr>
        <w:t>тежей Правительством РФ, был</w:t>
      </w:r>
      <w:r w:rsidRPr="00FD746A">
        <w:rPr>
          <w:rFonts w:ascii="Times New Roman" w:hAnsi="Times New Roman"/>
          <w:sz w:val="24"/>
          <w:szCs w:val="24"/>
        </w:rPr>
        <w:t xml:space="preserve"> </w:t>
      </w:r>
      <w:r w:rsidR="005D596E" w:rsidRPr="00FD746A">
        <w:rPr>
          <w:rFonts w:ascii="Times New Roman" w:hAnsi="Times New Roman"/>
          <w:sz w:val="24"/>
          <w:szCs w:val="24"/>
        </w:rPr>
        <w:t xml:space="preserve">ниже уровня инфляции. Существенная часть </w:t>
      </w:r>
      <w:r w:rsidR="000B66A6">
        <w:rPr>
          <w:rFonts w:ascii="Times New Roman" w:hAnsi="Times New Roman"/>
          <w:sz w:val="24"/>
          <w:szCs w:val="24"/>
        </w:rPr>
        <w:t>вопросов</w:t>
      </w:r>
      <w:r w:rsidR="005D596E" w:rsidRPr="00FD746A">
        <w:rPr>
          <w:rFonts w:ascii="Times New Roman" w:hAnsi="Times New Roman"/>
          <w:sz w:val="24"/>
          <w:szCs w:val="24"/>
        </w:rPr>
        <w:t xml:space="preserve"> по разделу «Нач</w:t>
      </w:r>
      <w:r w:rsidR="00B264AF" w:rsidRPr="00FD746A">
        <w:rPr>
          <w:rFonts w:ascii="Times New Roman" w:hAnsi="Times New Roman"/>
          <w:sz w:val="24"/>
          <w:szCs w:val="24"/>
        </w:rPr>
        <w:t xml:space="preserve">исления за ЖКУ» составляют </w:t>
      </w:r>
      <w:r w:rsidR="000B66A6">
        <w:rPr>
          <w:rFonts w:ascii="Times New Roman" w:hAnsi="Times New Roman"/>
          <w:sz w:val="24"/>
          <w:szCs w:val="24"/>
        </w:rPr>
        <w:t xml:space="preserve">вопросы </w:t>
      </w:r>
      <w:r w:rsidR="00B264AF" w:rsidRPr="00FD746A">
        <w:rPr>
          <w:rFonts w:ascii="Times New Roman" w:hAnsi="Times New Roman"/>
          <w:sz w:val="24"/>
          <w:szCs w:val="24"/>
        </w:rPr>
        <w:t>по разделу «плата за коммунальные услуги на обслуживание общедомового имущества». В связи с тем, что с 1 января 2017 года эта плата будет фиксирована по различным типам домов и будет включена в плату за содержание и текущий ремонт МКД, НП «ЖКХ Контроль» прогнозирует, что в 2017 году значимость этой темы продолжит снижаться.</w:t>
      </w:r>
    </w:p>
    <w:p w:rsidR="0024032B" w:rsidRPr="00FD746A" w:rsidRDefault="00B264AF" w:rsidP="00935BE3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 xml:space="preserve">При этом по сравнению с предыдущим годом существенно возросло количество </w:t>
      </w:r>
      <w:r w:rsidR="000B66A6">
        <w:rPr>
          <w:rFonts w:ascii="Times New Roman" w:hAnsi="Times New Roman"/>
          <w:sz w:val="24"/>
          <w:szCs w:val="24"/>
        </w:rPr>
        <w:t>вопросов</w:t>
      </w:r>
      <w:r w:rsidRPr="00FD746A">
        <w:rPr>
          <w:rFonts w:ascii="Times New Roman" w:hAnsi="Times New Roman"/>
          <w:sz w:val="24"/>
          <w:szCs w:val="24"/>
        </w:rPr>
        <w:t xml:space="preserve">, связанных с качеством коммунальных ресурсов. «Пик» данных обращений пришелся на первый и четвертый </w:t>
      </w:r>
      <w:r w:rsidR="009241A3">
        <w:rPr>
          <w:rFonts w:ascii="Times New Roman" w:hAnsi="Times New Roman"/>
          <w:sz w:val="24"/>
          <w:szCs w:val="24"/>
        </w:rPr>
        <w:t>квартал 2016</w:t>
      </w:r>
      <w:r w:rsidRPr="00FD746A">
        <w:rPr>
          <w:rFonts w:ascii="Times New Roman" w:hAnsi="Times New Roman"/>
          <w:sz w:val="24"/>
          <w:szCs w:val="24"/>
        </w:rPr>
        <w:t xml:space="preserve"> года и был в основном связан с </w:t>
      </w:r>
      <w:r w:rsidR="000B66A6">
        <w:rPr>
          <w:rFonts w:ascii="Times New Roman" w:hAnsi="Times New Roman"/>
          <w:sz w:val="24"/>
          <w:szCs w:val="24"/>
        </w:rPr>
        <w:t>вопросами по</w:t>
      </w:r>
      <w:r w:rsidRPr="00FD746A">
        <w:rPr>
          <w:rFonts w:ascii="Times New Roman" w:hAnsi="Times New Roman"/>
          <w:sz w:val="24"/>
          <w:szCs w:val="24"/>
        </w:rPr>
        <w:t xml:space="preserve"> отоплени</w:t>
      </w:r>
      <w:r w:rsidR="000B66A6">
        <w:rPr>
          <w:rFonts w:ascii="Times New Roman" w:hAnsi="Times New Roman"/>
          <w:sz w:val="24"/>
          <w:szCs w:val="24"/>
        </w:rPr>
        <w:t>ю</w:t>
      </w:r>
      <w:r w:rsidRPr="00FD746A">
        <w:rPr>
          <w:rFonts w:ascii="Times New Roman" w:hAnsi="Times New Roman"/>
          <w:sz w:val="24"/>
          <w:szCs w:val="24"/>
        </w:rPr>
        <w:t xml:space="preserve">. </w:t>
      </w:r>
      <w:r w:rsidR="00C82462">
        <w:rPr>
          <w:rFonts w:ascii="Times New Roman" w:hAnsi="Times New Roman"/>
          <w:sz w:val="24"/>
          <w:szCs w:val="24"/>
        </w:rPr>
        <w:t xml:space="preserve">Этому в немалой степени способствовала ранняя и небывало холодная зима. </w:t>
      </w:r>
    </w:p>
    <w:p w:rsidR="00C82462" w:rsidRDefault="00B264AF" w:rsidP="00C82462">
      <w:pPr>
        <w:pStyle w:val="aa"/>
        <w:spacing w:after="0" w:line="240" w:lineRule="auto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 xml:space="preserve">При этом </w:t>
      </w:r>
      <w:r w:rsidR="009241A3">
        <w:rPr>
          <w:rFonts w:ascii="Times New Roman" w:hAnsi="Times New Roman"/>
          <w:sz w:val="24"/>
          <w:szCs w:val="24"/>
        </w:rPr>
        <w:t>в 2016</w:t>
      </w:r>
      <w:r w:rsidR="00AE5361" w:rsidRPr="00FD746A">
        <w:rPr>
          <w:rFonts w:ascii="Times New Roman" w:hAnsi="Times New Roman"/>
          <w:sz w:val="24"/>
          <w:szCs w:val="24"/>
        </w:rPr>
        <w:t xml:space="preserve"> году мониторинг, проводимый ЖКХ контроль, зафиксировал значительно меньшее количество </w:t>
      </w:r>
      <w:r w:rsidR="00C82462">
        <w:rPr>
          <w:rFonts w:ascii="Times New Roman" w:hAnsi="Times New Roman"/>
          <w:sz w:val="24"/>
          <w:szCs w:val="24"/>
        </w:rPr>
        <w:t xml:space="preserve">существенных </w:t>
      </w:r>
      <w:r w:rsidR="00AE5361" w:rsidRPr="00FD746A">
        <w:rPr>
          <w:rFonts w:ascii="Times New Roman" w:hAnsi="Times New Roman"/>
          <w:sz w:val="24"/>
          <w:szCs w:val="24"/>
        </w:rPr>
        <w:t xml:space="preserve">нарушений, связанных с подготовкой и прохождением осенне-зимнего отопительного периода в регионах. Иными словами, крупных проблем и аварий стало меньше. </w:t>
      </w:r>
    </w:p>
    <w:p w:rsidR="00AE5361" w:rsidRPr="00FD746A" w:rsidRDefault="00AE5361" w:rsidP="00C82462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 xml:space="preserve">Существенно снизилось количество </w:t>
      </w:r>
      <w:r w:rsidR="000B66A6">
        <w:rPr>
          <w:rFonts w:ascii="Times New Roman" w:hAnsi="Times New Roman"/>
          <w:sz w:val="24"/>
          <w:szCs w:val="24"/>
        </w:rPr>
        <w:t>вопросов</w:t>
      </w:r>
      <w:r w:rsidRPr="00FD746A">
        <w:rPr>
          <w:rFonts w:ascii="Times New Roman" w:hAnsi="Times New Roman"/>
          <w:sz w:val="24"/>
          <w:szCs w:val="24"/>
        </w:rPr>
        <w:t xml:space="preserve">, связанных с темой управления МКД, в том числе с выборами и перевыборами управляющих компаний, взаимодействием собственников и УК, проведением общих собраний. Снижение </w:t>
      </w:r>
      <w:r w:rsidR="000B66A6">
        <w:rPr>
          <w:rFonts w:ascii="Times New Roman" w:hAnsi="Times New Roman"/>
          <w:sz w:val="24"/>
          <w:szCs w:val="24"/>
        </w:rPr>
        <w:lastRenderedPageBreak/>
        <w:t>числа обращений</w:t>
      </w:r>
      <w:r w:rsidRPr="00FD746A">
        <w:rPr>
          <w:rFonts w:ascii="Times New Roman" w:hAnsi="Times New Roman"/>
          <w:sz w:val="24"/>
          <w:szCs w:val="24"/>
        </w:rPr>
        <w:t xml:space="preserve"> по данной теме можно объяснить тем, что предыдущий – 2015 год – стал годом введения лицензирования УК, что существенно </w:t>
      </w:r>
      <w:r w:rsidR="000B66A6">
        <w:rPr>
          <w:rFonts w:ascii="Times New Roman" w:hAnsi="Times New Roman"/>
          <w:sz w:val="24"/>
          <w:szCs w:val="24"/>
        </w:rPr>
        <w:t>актуализировало</w:t>
      </w:r>
      <w:r w:rsidRPr="00FD746A">
        <w:rPr>
          <w:rFonts w:ascii="Times New Roman" w:hAnsi="Times New Roman"/>
          <w:sz w:val="24"/>
          <w:szCs w:val="24"/>
        </w:rPr>
        <w:t xml:space="preserve"> все </w:t>
      </w:r>
      <w:r w:rsidR="000B66A6">
        <w:rPr>
          <w:rFonts w:ascii="Times New Roman" w:hAnsi="Times New Roman"/>
          <w:sz w:val="24"/>
          <w:szCs w:val="24"/>
        </w:rPr>
        <w:t>темы</w:t>
      </w:r>
      <w:r w:rsidRPr="00FD746A">
        <w:rPr>
          <w:rFonts w:ascii="Times New Roman" w:hAnsi="Times New Roman"/>
          <w:sz w:val="24"/>
          <w:szCs w:val="24"/>
        </w:rPr>
        <w:t xml:space="preserve"> в этой области. В 2016 году ситуация стабилизировалась. При этом количество </w:t>
      </w:r>
      <w:r w:rsidR="000B66A6">
        <w:rPr>
          <w:rFonts w:ascii="Times New Roman" w:hAnsi="Times New Roman"/>
          <w:sz w:val="24"/>
          <w:szCs w:val="24"/>
        </w:rPr>
        <w:t xml:space="preserve">обращений по поводу </w:t>
      </w:r>
      <w:r w:rsidRPr="00FD746A">
        <w:rPr>
          <w:rFonts w:ascii="Times New Roman" w:hAnsi="Times New Roman"/>
          <w:sz w:val="24"/>
          <w:szCs w:val="24"/>
        </w:rPr>
        <w:t>состояни</w:t>
      </w:r>
      <w:r w:rsidR="000B66A6">
        <w:rPr>
          <w:rFonts w:ascii="Times New Roman" w:hAnsi="Times New Roman"/>
          <w:sz w:val="24"/>
          <w:szCs w:val="24"/>
        </w:rPr>
        <w:t>я</w:t>
      </w:r>
      <w:r w:rsidRPr="00FD746A">
        <w:rPr>
          <w:rFonts w:ascii="Times New Roman" w:hAnsi="Times New Roman"/>
          <w:sz w:val="24"/>
          <w:szCs w:val="24"/>
        </w:rPr>
        <w:t xml:space="preserve"> МКД выросло, однако оно может быть связано не только с работой управляющих организаций, но и с другими факторами, например, капитальным ремонтом.</w:t>
      </w:r>
    </w:p>
    <w:p w:rsidR="00AE5361" w:rsidRPr="00FD746A" w:rsidRDefault="00AE5361" w:rsidP="00935BE3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 xml:space="preserve">Тема капитального ремонта в 2016 году </w:t>
      </w:r>
      <w:r w:rsidR="0024032B" w:rsidRPr="00FD746A">
        <w:rPr>
          <w:rFonts w:ascii="Times New Roman" w:hAnsi="Times New Roman"/>
          <w:sz w:val="24"/>
          <w:szCs w:val="24"/>
        </w:rPr>
        <w:t xml:space="preserve">также </w:t>
      </w:r>
      <w:r w:rsidRPr="00FD746A">
        <w:rPr>
          <w:rFonts w:ascii="Times New Roman" w:hAnsi="Times New Roman"/>
          <w:sz w:val="24"/>
          <w:szCs w:val="24"/>
        </w:rPr>
        <w:t xml:space="preserve">снижала свою остроту. Наибольшее </w:t>
      </w:r>
      <w:r w:rsidR="000B66A6">
        <w:rPr>
          <w:rFonts w:ascii="Times New Roman" w:hAnsi="Times New Roman"/>
          <w:sz w:val="24"/>
          <w:szCs w:val="24"/>
        </w:rPr>
        <w:t>число обращений</w:t>
      </w:r>
      <w:r w:rsidRPr="00FD746A">
        <w:rPr>
          <w:rFonts w:ascii="Times New Roman" w:hAnsi="Times New Roman"/>
          <w:sz w:val="24"/>
          <w:szCs w:val="24"/>
        </w:rPr>
        <w:t xml:space="preserve"> по этому поводу НП «ЖКХ Контроль» фиксировал во втором-третьем квартале 2016 года, что было связано не только с активной фазой проведения ремонтов</w:t>
      </w:r>
      <w:r w:rsidR="006802BA" w:rsidRPr="00FD746A">
        <w:rPr>
          <w:rFonts w:ascii="Times New Roman" w:hAnsi="Times New Roman"/>
          <w:sz w:val="24"/>
          <w:szCs w:val="24"/>
        </w:rPr>
        <w:t>, но и с избирательной ка</w:t>
      </w:r>
      <w:r w:rsidRPr="00FD746A">
        <w:rPr>
          <w:rFonts w:ascii="Times New Roman" w:hAnsi="Times New Roman"/>
          <w:sz w:val="24"/>
          <w:szCs w:val="24"/>
        </w:rPr>
        <w:t>мпанией в Государственную Думу, в</w:t>
      </w:r>
      <w:r w:rsidR="0024032B" w:rsidRPr="00FD746A">
        <w:rPr>
          <w:rFonts w:ascii="Times New Roman" w:hAnsi="Times New Roman"/>
          <w:sz w:val="24"/>
          <w:szCs w:val="24"/>
        </w:rPr>
        <w:t>о время</w:t>
      </w:r>
      <w:r w:rsidRPr="00FD746A">
        <w:rPr>
          <w:rFonts w:ascii="Times New Roman" w:hAnsi="Times New Roman"/>
          <w:sz w:val="24"/>
          <w:szCs w:val="24"/>
        </w:rPr>
        <w:t xml:space="preserve"> которой отдельные партии </w:t>
      </w:r>
      <w:r w:rsidR="0024032B" w:rsidRPr="00FD746A">
        <w:rPr>
          <w:rFonts w:ascii="Times New Roman" w:hAnsi="Times New Roman"/>
          <w:sz w:val="24"/>
          <w:szCs w:val="24"/>
        </w:rPr>
        <w:t xml:space="preserve">пытались </w:t>
      </w:r>
      <w:r w:rsidRPr="00FD746A">
        <w:rPr>
          <w:rFonts w:ascii="Times New Roman" w:hAnsi="Times New Roman"/>
          <w:sz w:val="24"/>
          <w:szCs w:val="24"/>
        </w:rPr>
        <w:t>использовать критику данных программ для повышения своих политических рейтингов.</w:t>
      </w:r>
    </w:p>
    <w:p w:rsidR="00572C06" w:rsidRDefault="00572C06" w:rsidP="00935BE3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 xml:space="preserve">В 2016 году наблюдался заметный рост </w:t>
      </w:r>
      <w:r w:rsidR="00DA3E03">
        <w:rPr>
          <w:rFonts w:ascii="Times New Roman" w:hAnsi="Times New Roman"/>
          <w:sz w:val="24"/>
          <w:szCs w:val="24"/>
        </w:rPr>
        <w:t>вопросов по поводу благоустройства</w:t>
      </w:r>
      <w:r w:rsidRPr="00FD746A">
        <w:rPr>
          <w:rFonts w:ascii="Times New Roman" w:hAnsi="Times New Roman"/>
          <w:sz w:val="24"/>
          <w:szCs w:val="24"/>
        </w:rPr>
        <w:t xml:space="preserve"> придомовых территорий. </w:t>
      </w:r>
      <w:r w:rsidR="00DA3E03">
        <w:rPr>
          <w:rFonts w:ascii="Times New Roman" w:hAnsi="Times New Roman"/>
          <w:sz w:val="24"/>
          <w:szCs w:val="24"/>
        </w:rPr>
        <w:t>Вероятно,</w:t>
      </w:r>
      <w:r w:rsidR="00EA573E">
        <w:rPr>
          <w:rFonts w:ascii="Times New Roman" w:hAnsi="Times New Roman"/>
          <w:sz w:val="24"/>
          <w:szCs w:val="24"/>
        </w:rPr>
        <w:t xml:space="preserve"> это связано с анонсированием нового приоритетного проекта</w:t>
      </w:r>
      <w:bookmarkStart w:id="0" w:name="_GoBack"/>
      <w:bookmarkEnd w:id="0"/>
      <w:r w:rsidR="00EA573E">
        <w:rPr>
          <w:rFonts w:ascii="Times New Roman" w:hAnsi="Times New Roman"/>
          <w:sz w:val="24"/>
          <w:szCs w:val="24"/>
        </w:rPr>
        <w:t xml:space="preserve"> «Формирование комфортной городской среды»</w:t>
      </w:r>
      <w:r w:rsidRPr="00FD746A">
        <w:rPr>
          <w:rFonts w:ascii="Times New Roman" w:hAnsi="Times New Roman"/>
          <w:sz w:val="24"/>
          <w:szCs w:val="24"/>
        </w:rPr>
        <w:t xml:space="preserve">.  </w:t>
      </w:r>
    </w:p>
    <w:p w:rsidR="00DA3E03" w:rsidRPr="00FD746A" w:rsidRDefault="00DA3E03" w:rsidP="00DA3E03">
      <w:pPr>
        <w:pStyle w:val="a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07B1" w:rsidRPr="00BA1898" w:rsidRDefault="008037B8" w:rsidP="006802B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D746A">
        <w:rPr>
          <w:rFonts w:ascii="Times New Roman" w:hAnsi="Times New Roman" w:cs="Times New Roman"/>
          <w:color w:val="auto"/>
          <w:sz w:val="24"/>
          <w:szCs w:val="24"/>
        </w:rPr>
        <w:t>Методика</w:t>
      </w:r>
      <w:r w:rsidR="00BA1898">
        <w:rPr>
          <w:rFonts w:ascii="Times New Roman" w:hAnsi="Times New Roman" w:cs="Times New Roman"/>
          <w:color w:val="auto"/>
          <w:sz w:val="24"/>
          <w:szCs w:val="24"/>
        </w:rPr>
        <w:t xml:space="preserve"> формирования рейтинга</w:t>
      </w:r>
    </w:p>
    <w:p w:rsidR="00E807B1" w:rsidRPr="00FD746A" w:rsidRDefault="00E807B1" w:rsidP="006802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 xml:space="preserve">Общероссийский центр общественного контроля в сфере ЖКХ осуществляет формирование и координацию в субъектах РФ сети общественных организаций в сфере ЖКХ. В ходе отчетного периода в </w:t>
      </w:r>
      <w:r w:rsidR="00527AE1" w:rsidRPr="00FD746A">
        <w:rPr>
          <w:rFonts w:ascii="Times New Roman" w:hAnsi="Times New Roman"/>
          <w:sz w:val="24"/>
          <w:szCs w:val="24"/>
        </w:rPr>
        <w:t>80</w:t>
      </w:r>
      <w:r w:rsidRPr="00FD746A">
        <w:rPr>
          <w:rFonts w:ascii="Times New Roman" w:hAnsi="Times New Roman"/>
          <w:sz w:val="24"/>
          <w:szCs w:val="24"/>
        </w:rPr>
        <w:t xml:space="preserve"> субъектах РФ действовали Центры общественного контроля, объединяющие НКО, работающие в сфере жилищного просвещения и защиты прав граждан. </w:t>
      </w:r>
    </w:p>
    <w:p w:rsidR="00E807B1" w:rsidRPr="00FD746A" w:rsidRDefault="00E807B1" w:rsidP="00E807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 xml:space="preserve">В центрах работали общественные </w:t>
      </w:r>
      <w:r w:rsidR="00124648" w:rsidRPr="00FD746A">
        <w:rPr>
          <w:rFonts w:ascii="Times New Roman" w:hAnsi="Times New Roman"/>
          <w:sz w:val="24"/>
          <w:szCs w:val="24"/>
        </w:rPr>
        <w:t>приемные, в</w:t>
      </w:r>
      <w:r w:rsidRPr="00FD746A">
        <w:rPr>
          <w:rFonts w:ascii="Times New Roman" w:hAnsi="Times New Roman"/>
          <w:sz w:val="24"/>
          <w:szCs w:val="24"/>
        </w:rPr>
        <w:t xml:space="preserve"> ряде регионов открыты телефоны «горячих линий», которые в ежедневном режиме осуществляли прием обращений от граждан. </w:t>
      </w:r>
    </w:p>
    <w:p w:rsidR="00E807B1" w:rsidRPr="00FD746A" w:rsidRDefault="00E807B1" w:rsidP="00E807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 xml:space="preserve">При составлении рейтинга «список основных </w:t>
      </w:r>
      <w:r w:rsidR="00124648">
        <w:rPr>
          <w:rFonts w:ascii="Times New Roman" w:hAnsi="Times New Roman"/>
          <w:sz w:val="24"/>
          <w:szCs w:val="24"/>
        </w:rPr>
        <w:t>вопросов</w:t>
      </w:r>
      <w:r w:rsidRPr="00FD746A">
        <w:rPr>
          <w:rFonts w:ascii="Times New Roman" w:hAnsi="Times New Roman"/>
          <w:sz w:val="24"/>
          <w:szCs w:val="24"/>
        </w:rPr>
        <w:t xml:space="preserve"> в сфере жилищно-коммунального хозяйства» использованы обращения, поступившие в региональные центры общественного контроля на горячие линии, в рамках приема граждан, по электронной почте, посредством Почты России, через официальные сайты. В свою очередь, в Общероссийский центр обращения поступали аналогичными путями.</w:t>
      </w:r>
    </w:p>
    <w:p w:rsidR="00E807B1" w:rsidRPr="00FD746A" w:rsidRDefault="00E807B1" w:rsidP="00E807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 xml:space="preserve">Формирование рейтинга </w:t>
      </w:r>
      <w:r w:rsidR="00124648">
        <w:rPr>
          <w:rFonts w:ascii="Times New Roman" w:hAnsi="Times New Roman"/>
          <w:sz w:val="24"/>
          <w:szCs w:val="24"/>
        </w:rPr>
        <w:t>самых часто задаваемых вопросов</w:t>
      </w:r>
      <w:r w:rsidRPr="00FD746A">
        <w:rPr>
          <w:rFonts w:ascii="Times New Roman" w:hAnsi="Times New Roman"/>
          <w:sz w:val="24"/>
          <w:szCs w:val="24"/>
        </w:rPr>
        <w:t xml:space="preserve"> в сфере ЖКХ осуществлялось в несколько этапов.</w:t>
      </w:r>
    </w:p>
    <w:p w:rsidR="00E807B1" w:rsidRPr="00FD746A" w:rsidRDefault="00E807B1" w:rsidP="00E807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 xml:space="preserve">На первоначальном этапе был составлен рубрикатор </w:t>
      </w:r>
      <w:r w:rsidR="00124648">
        <w:rPr>
          <w:rFonts w:ascii="Times New Roman" w:hAnsi="Times New Roman"/>
          <w:sz w:val="24"/>
          <w:szCs w:val="24"/>
        </w:rPr>
        <w:t>тем</w:t>
      </w:r>
      <w:r w:rsidRPr="00FD746A">
        <w:rPr>
          <w:rFonts w:ascii="Times New Roman" w:hAnsi="Times New Roman"/>
          <w:sz w:val="24"/>
          <w:szCs w:val="24"/>
        </w:rPr>
        <w:t xml:space="preserve">, </w:t>
      </w:r>
      <w:r w:rsidR="00124648">
        <w:rPr>
          <w:rFonts w:ascii="Times New Roman" w:hAnsi="Times New Roman"/>
          <w:sz w:val="24"/>
          <w:szCs w:val="24"/>
        </w:rPr>
        <w:t>задаваемых</w:t>
      </w:r>
      <w:r w:rsidRPr="00FD746A">
        <w:rPr>
          <w:rFonts w:ascii="Times New Roman" w:hAnsi="Times New Roman"/>
          <w:sz w:val="24"/>
          <w:szCs w:val="24"/>
        </w:rPr>
        <w:t xml:space="preserve">  в сфере жилищно-коммунального хозяйства. Перечень направлен в Региональные центры.</w:t>
      </w:r>
    </w:p>
    <w:p w:rsidR="00E807B1" w:rsidRPr="00FD746A" w:rsidRDefault="00E807B1" w:rsidP="00E807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На втором этапе Региональные центры общественного контроля в сфере жилищно-коммунального хозяйства распределили все поступившие обращения по ранее сформулированным темам.</w:t>
      </w:r>
    </w:p>
    <w:p w:rsidR="00E807B1" w:rsidRPr="00FD746A" w:rsidRDefault="00E807B1" w:rsidP="00E807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На следующем этапе все собранные данные из региональных центров были перенаправлены в Национальный центр.</w:t>
      </w:r>
    </w:p>
    <w:p w:rsidR="00E807B1" w:rsidRPr="00FD746A" w:rsidRDefault="00E807B1" w:rsidP="00E807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На последнем этапе эксперты Национального центра суммировали информацию, полученную из регионов, с данными, сформированными на основании обращений, которые поступали в Национальный центр, обобщили некоторые рубрики между собой.</w:t>
      </w:r>
    </w:p>
    <w:p w:rsidR="00E807B1" w:rsidRPr="00FD746A" w:rsidRDefault="00E807B1" w:rsidP="00E807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7B1" w:rsidRPr="00FD746A" w:rsidRDefault="00E807B1" w:rsidP="006802B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 xml:space="preserve">Итоговый рубрикатор </w:t>
      </w:r>
      <w:r w:rsidR="00124648">
        <w:rPr>
          <w:rFonts w:ascii="Times New Roman" w:hAnsi="Times New Roman"/>
          <w:sz w:val="24"/>
          <w:szCs w:val="24"/>
        </w:rPr>
        <w:t>вопросов</w:t>
      </w:r>
      <w:r w:rsidRPr="00FD746A">
        <w:rPr>
          <w:rFonts w:ascii="Times New Roman" w:hAnsi="Times New Roman"/>
          <w:sz w:val="24"/>
          <w:szCs w:val="24"/>
        </w:rPr>
        <w:t xml:space="preserve"> выглядит следующим образом:</w:t>
      </w:r>
    </w:p>
    <w:p w:rsidR="00E807B1" w:rsidRPr="00FD746A" w:rsidRDefault="00E807B1" w:rsidP="00E807B1">
      <w:pPr>
        <w:pStyle w:val="aa"/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E807B1" w:rsidRPr="00FD746A" w:rsidRDefault="00E807B1" w:rsidP="00E807B1">
      <w:pPr>
        <w:pStyle w:val="aa"/>
        <w:numPr>
          <w:ilvl w:val="0"/>
          <w:numId w:val="1"/>
        </w:numPr>
        <w:tabs>
          <w:tab w:val="left" w:pos="567"/>
        </w:tabs>
        <w:spacing w:after="0" w:line="240" w:lineRule="auto"/>
        <w:ind w:left="142" w:hanging="141"/>
        <w:jc w:val="both"/>
        <w:rPr>
          <w:rFonts w:ascii="Times New Roman" w:hAnsi="Times New Roman"/>
          <w:b/>
          <w:sz w:val="24"/>
          <w:szCs w:val="24"/>
        </w:rPr>
      </w:pPr>
      <w:r w:rsidRPr="00FD746A">
        <w:rPr>
          <w:rFonts w:ascii="Times New Roman" w:hAnsi="Times New Roman"/>
          <w:b/>
          <w:sz w:val="24"/>
          <w:szCs w:val="24"/>
        </w:rPr>
        <w:t xml:space="preserve">Начисление платы за ЖКУ включает следующие </w:t>
      </w:r>
      <w:r w:rsidR="00124648">
        <w:rPr>
          <w:rFonts w:ascii="Times New Roman" w:hAnsi="Times New Roman"/>
          <w:b/>
          <w:sz w:val="24"/>
          <w:szCs w:val="24"/>
        </w:rPr>
        <w:t>вопросы</w:t>
      </w:r>
      <w:r w:rsidRPr="00FD746A">
        <w:rPr>
          <w:rFonts w:ascii="Times New Roman" w:hAnsi="Times New Roman"/>
          <w:b/>
          <w:sz w:val="24"/>
          <w:szCs w:val="24"/>
        </w:rPr>
        <w:t xml:space="preserve">: </w:t>
      </w:r>
    </w:p>
    <w:p w:rsidR="00E807B1" w:rsidRPr="00FD746A" w:rsidRDefault="00AA16C4" w:rsidP="00E807B1">
      <w:pPr>
        <w:pStyle w:val="aa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Соблюдение порядка начисления</w:t>
      </w:r>
      <w:r w:rsidR="00E807B1" w:rsidRPr="00FD746A">
        <w:rPr>
          <w:rFonts w:ascii="Times New Roman" w:hAnsi="Times New Roman"/>
          <w:sz w:val="24"/>
          <w:szCs w:val="24"/>
        </w:rPr>
        <w:t xml:space="preserve"> платы за жилищно-коммунальные услуги;</w:t>
      </w:r>
    </w:p>
    <w:p w:rsidR="00E807B1" w:rsidRPr="00FD746A" w:rsidRDefault="00E807B1" w:rsidP="00E807B1">
      <w:pPr>
        <w:pStyle w:val="aa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перерасчеты;</w:t>
      </w:r>
    </w:p>
    <w:p w:rsidR="00E807B1" w:rsidRPr="00FD746A" w:rsidRDefault="00E807B1" w:rsidP="00E807B1">
      <w:pPr>
        <w:pStyle w:val="aa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формирование</w:t>
      </w:r>
      <w:r w:rsidR="00AA16C4" w:rsidRPr="00FD746A">
        <w:rPr>
          <w:rFonts w:ascii="Times New Roman" w:hAnsi="Times New Roman"/>
          <w:sz w:val="24"/>
          <w:szCs w:val="24"/>
        </w:rPr>
        <w:t xml:space="preserve"> и доставка</w:t>
      </w:r>
      <w:r w:rsidRPr="00FD746A">
        <w:rPr>
          <w:rFonts w:ascii="Times New Roman" w:hAnsi="Times New Roman"/>
          <w:sz w:val="24"/>
          <w:szCs w:val="24"/>
        </w:rPr>
        <w:t xml:space="preserve"> платежных документов;</w:t>
      </w:r>
    </w:p>
    <w:p w:rsidR="00E807B1" w:rsidRPr="00FD746A" w:rsidRDefault="00E807B1" w:rsidP="00E807B1">
      <w:pPr>
        <w:pStyle w:val="aa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дополнительные платежи</w:t>
      </w:r>
      <w:r w:rsidR="00AA16C4" w:rsidRPr="00FD746A">
        <w:rPr>
          <w:rFonts w:ascii="Times New Roman" w:hAnsi="Times New Roman"/>
          <w:sz w:val="24"/>
          <w:szCs w:val="24"/>
        </w:rPr>
        <w:t>, комиссии;</w:t>
      </w:r>
    </w:p>
    <w:p w:rsidR="00E807B1" w:rsidRPr="00FD746A" w:rsidRDefault="00E807B1" w:rsidP="00E807B1">
      <w:pPr>
        <w:pStyle w:val="aa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b/>
          <w:sz w:val="24"/>
          <w:szCs w:val="24"/>
        </w:rPr>
        <w:lastRenderedPageBreak/>
        <w:t>в том числе</w:t>
      </w:r>
      <w:r w:rsidRPr="00FD746A">
        <w:rPr>
          <w:rFonts w:ascii="Times New Roman" w:hAnsi="Times New Roman"/>
          <w:sz w:val="24"/>
          <w:szCs w:val="24"/>
        </w:rPr>
        <w:t xml:space="preserve"> </w:t>
      </w:r>
      <w:r w:rsidR="00124648">
        <w:rPr>
          <w:rFonts w:ascii="Times New Roman" w:hAnsi="Times New Roman"/>
          <w:sz w:val="24"/>
          <w:szCs w:val="24"/>
        </w:rPr>
        <w:t xml:space="preserve"> начисление</w:t>
      </w:r>
      <w:r w:rsidRPr="00FD746A">
        <w:rPr>
          <w:rFonts w:ascii="Times New Roman" w:hAnsi="Times New Roman"/>
          <w:sz w:val="24"/>
          <w:szCs w:val="24"/>
        </w:rPr>
        <w:t xml:space="preserve"> платы за коммунальные услуги, потребленные на общедомовые нужды</w:t>
      </w:r>
      <w:r w:rsidR="006C77DE" w:rsidRPr="00FD746A">
        <w:rPr>
          <w:rFonts w:ascii="Times New Roman" w:hAnsi="Times New Roman"/>
          <w:sz w:val="24"/>
          <w:szCs w:val="24"/>
        </w:rPr>
        <w:t>, начисление платы за коммунальную услугу по отоплению</w:t>
      </w:r>
      <w:r w:rsidR="00DF62EB" w:rsidRPr="00FD746A">
        <w:rPr>
          <w:rFonts w:ascii="Times New Roman" w:hAnsi="Times New Roman"/>
          <w:sz w:val="24"/>
          <w:szCs w:val="24"/>
        </w:rPr>
        <w:t xml:space="preserve"> (1882 обращения, что составляет 5,86 % от общего числа обращений за 2016 год)</w:t>
      </w:r>
      <w:r w:rsidRPr="00FD746A">
        <w:rPr>
          <w:rFonts w:ascii="Times New Roman" w:hAnsi="Times New Roman"/>
          <w:sz w:val="24"/>
          <w:szCs w:val="24"/>
        </w:rPr>
        <w:t>.</w:t>
      </w:r>
    </w:p>
    <w:p w:rsidR="00E807B1" w:rsidRPr="00FD746A" w:rsidRDefault="00E807B1" w:rsidP="00E807B1">
      <w:pPr>
        <w:pStyle w:val="aa"/>
        <w:numPr>
          <w:ilvl w:val="0"/>
          <w:numId w:val="1"/>
        </w:numPr>
        <w:tabs>
          <w:tab w:val="left" w:pos="567"/>
        </w:tabs>
        <w:spacing w:after="0" w:line="240" w:lineRule="auto"/>
        <w:ind w:left="142" w:hanging="141"/>
        <w:jc w:val="both"/>
        <w:rPr>
          <w:rFonts w:ascii="Times New Roman" w:hAnsi="Times New Roman"/>
          <w:b/>
          <w:sz w:val="24"/>
          <w:szCs w:val="24"/>
        </w:rPr>
      </w:pPr>
      <w:r w:rsidRPr="00FD746A">
        <w:rPr>
          <w:rFonts w:ascii="Times New Roman" w:hAnsi="Times New Roman"/>
          <w:b/>
          <w:sz w:val="24"/>
          <w:szCs w:val="24"/>
        </w:rPr>
        <w:t xml:space="preserve">Управление МКД включает следующие </w:t>
      </w:r>
      <w:r w:rsidR="00124648">
        <w:rPr>
          <w:rFonts w:ascii="Times New Roman" w:hAnsi="Times New Roman"/>
          <w:b/>
          <w:sz w:val="24"/>
          <w:szCs w:val="24"/>
        </w:rPr>
        <w:t>вопросы</w:t>
      </w:r>
      <w:r w:rsidRPr="00FD746A">
        <w:rPr>
          <w:rFonts w:ascii="Times New Roman" w:hAnsi="Times New Roman"/>
          <w:b/>
          <w:sz w:val="24"/>
          <w:szCs w:val="24"/>
        </w:rPr>
        <w:t>:</w:t>
      </w:r>
    </w:p>
    <w:p w:rsidR="00E807B1" w:rsidRPr="00FD746A" w:rsidRDefault="00AA16C4" w:rsidP="00E807B1">
      <w:pPr>
        <w:pStyle w:val="aa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споры хозяйствующих субъектов о праве управления МКД</w:t>
      </w:r>
      <w:r w:rsidR="00E807B1" w:rsidRPr="00FD746A">
        <w:rPr>
          <w:rFonts w:ascii="Times New Roman" w:hAnsi="Times New Roman"/>
          <w:sz w:val="24"/>
          <w:szCs w:val="24"/>
        </w:rPr>
        <w:t xml:space="preserve"> (</w:t>
      </w:r>
      <w:r w:rsidR="00124648">
        <w:rPr>
          <w:rFonts w:ascii="Times New Roman" w:hAnsi="Times New Roman"/>
          <w:sz w:val="24"/>
          <w:szCs w:val="24"/>
        </w:rPr>
        <w:t>двойные</w:t>
      </w:r>
      <w:r w:rsidR="00E807B1" w:rsidRPr="00FD746A">
        <w:rPr>
          <w:rFonts w:ascii="Times New Roman" w:hAnsi="Times New Roman"/>
          <w:sz w:val="24"/>
          <w:szCs w:val="24"/>
        </w:rPr>
        <w:t xml:space="preserve"> пла</w:t>
      </w:r>
      <w:r w:rsidR="00124648">
        <w:rPr>
          <w:rFonts w:ascii="Times New Roman" w:hAnsi="Times New Roman"/>
          <w:sz w:val="24"/>
          <w:szCs w:val="24"/>
        </w:rPr>
        <w:t>тежные документы</w:t>
      </w:r>
      <w:r w:rsidR="00E807B1" w:rsidRPr="00FD746A">
        <w:rPr>
          <w:rFonts w:ascii="Times New Roman" w:hAnsi="Times New Roman"/>
          <w:sz w:val="24"/>
          <w:szCs w:val="24"/>
        </w:rPr>
        <w:t>);</w:t>
      </w:r>
    </w:p>
    <w:p w:rsidR="00E807B1" w:rsidRPr="00FD746A" w:rsidRDefault="00E807B1" w:rsidP="00E807B1">
      <w:pPr>
        <w:pStyle w:val="aa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действи</w:t>
      </w:r>
      <w:r w:rsidR="00124648">
        <w:rPr>
          <w:rFonts w:ascii="Times New Roman" w:hAnsi="Times New Roman"/>
          <w:sz w:val="24"/>
          <w:szCs w:val="24"/>
        </w:rPr>
        <w:t>я</w:t>
      </w:r>
      <w:r w:rsidRPr="00FD746A">
        <w:rPr>
          <w:rFonts w:ascii="Times New Roman" w:hAnsi="Times New Roman"/>
          <w:sz w:val="24"/>
          <w:szCs w:val="24"/>
        </w:rPr>
        <w:t xml:space="preserve"> ТСЖ, ЖСК, управляющих организаций (в том числе вопросы, касающиеся финансово-хозяйственной деятельности);</w:t>
      </w:r>
    </w:p>
    <w:p w:rsidR="00E807B1" w:rsidRPr="00FD746A" w:rsidRDefault="00E807B1" w:rsidP="00E807B1">
      <w:pPr>
        <w:pStyle w:val="aa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раскрытие информации управляющими организациями;</w:t>
      </w:r>
    </w:p>
    <w:p w:rsidR="00E807B1" w:rsidRPr="00FD746A" w:rsidRDefault="00E807B1" w:rsidP="00E807B1">
      <w:pPr>
        <w:pStyle w:val="aa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лицензирование деятельности по упра</w:t>
      </w:r>
      <w:r w:rsidR="00143683" w:rsidRPr="00FD746A">
        <w:rPr>
          <w:rFonts w:ascii="Times New Roman" w:hAnsi="Times New Roman"/>
          <w:sz w:val="24"/>
          <w:szCs w:val="24"/>
        </w:rPr>
        <w:t>влению  многоквартирными домами</w:t>
      </w:r>
      <w:r w:rsidR="00DF62EB" w:rsidRPr="00FD746A">
        <w:rPr>
          <w:rFonts w:ascii="Times New Roman" w:hAnsi="Times New Roman"/>
          <w:sz w:val="24"/>
          <w:szCs w:val="24"/>
        </w:rPr>
        <w:t>(190 обращения, что составляет 0,6 % от общего числа обращений за 2016 год)</w:t>
      </w:r>
      <w:r w:rsidR="00143683" w:rsidRPr="00FD746A">
        <w:rPr>
          <w:rFonts w:ascii="Times New Roman" w:hAnsi="Times New Roman"/>
          <w:sz w:val="24"/>
          <w:szCs w:val="24"/>
        </w:rPr>
        <w:t>;</w:t>
      </w:r>
    </w:p>
    <w:p w:rsidR="00AA16C4" w:rsidRPr="00FD746A" w:rsidRDefault="00AA16C4" w:rsidP="00E807B1">
      <w:pPr>
        <w:pStyle w:val="aa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предоставление и содержание отчетов об исполнении договоров управления, актов выполненных работ;</w:t>
      </w:r>
    </w:p>
    <w:p w:rsidR="00E807B1" w:rsidRPr="00FD746A" w:rsidRDefault="00E807B1" w:rsidP="00E807B1">
      <w:pPr>
        <w:pStyle w:val="aa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проведение общих собраний собственников</w:t>
      </w:r>
      <w:r w:rsidR="00DF62EB" w:rsidRPr="00FD746A">
        <w:rPr>
          <w:rFonts w:ascii="Times New Roman" w:hAnsi="Times New Roman"/>
          <w:sz w:val="24"/>
          <w:szCs w:val="24"/>
        </w:rPr>
        <w:t xml:space="preserve"> (992 обращения, что составляет 3,09 % от общего числа обращений за 2016 год)</w:t>
      </w:r>
      <w:r w:rsidRPr="00FD746A">
        <w:rPr>
          <w:rFonts w:ascii="Times New Roman" w:hAnsi="Times New Roman"/>
          <w:sz w:val="24"/>
          <w:szCs w:val="24"/>
        </w:rPr>
        <w:t>:</w:t>
      </w:r>
    </w:p>
    <w:p w:rsidR="00217723" w:rsidRPr="00FD746A" w:rsidRDefault="00E807B1" w:rsidP="00217723">
      <w:pPr>
        <w:pStyle w:val="aa"/>
        <w:tabs>
          <w:tab w:val="left" w:pos="567"/>
          <w:tab w:val="left" w:pos="993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-</w:t>
      </w:r>
      <w:r w:rsidR="00217723" w:rsidRPr="00FD746A">
        <w:rPr>
          <w:rFonts w:ascii="Times New Roman" w:hAnsi="Times New Roman"/>
          <w:sz w:val="24"/>
          <w:szCs w:val="24"/>
        </w:rPr>
        <w:t xml:space="preserve">  </w:t>
      </w:r>
      <w:r w:rsidRPr="00FD746A">
        <w:rPr>
          <w:rFonts w:ascii="Times New Roman" w:hAnsi="Times New Roman"/>
          <w:sz w:val="24"/>
          <w:szCs w:val="24"/>
        </w:rPr>
        <w:t>проведени</w:t>
      </w:r>
      <w:r w:rsidR="00124648">
        <w:rPr>
          <w:rFonts w:ascii="Times New Roman" w:hAnsi="Times New Roman"/>
          <w:sz w:val="24"/>
          <w:szCs w:val="24"/>
        </w:rPr>
        <w:t>е собраний, оформление</w:t>
      </w:r>
      <w:r w:rsidR="00217723" w:rsidRPr="00FD746A">
        <w:rPr>
          <w:rFonts w:ascii="Times New Roman" w:hAnsi="Times New Roman"/>
          <w:sz w:val="24"/>
          <w:szCs w:val="24"/>
        </w:rPr>
        <w:t xml:space="preserve"> итогов          </w:t>
      </w:r>
    </w:p>
    <w:p w:rsidR="00E807B1" w:rsidRPr="00FD746A" w:rsidRDefault="00217723" w:rsidP="00217723">
      <w:pPr>
        <w:pStyle w:val="aa"/>
        <w:tabs>
          <w:tab w:val="left" w:pos="567"/>
          <w:tab w:val="left" w:pos="993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 xml:space="preserve">   голосования и </w:t>
      </w:r>
      <w:r w:rsidR="00E807B1" w:rsidRPr="00FD746A">
        <w:rPr>
          <w:rFonts w:ascii="Times New Roman" w:hAnsi="Times New Roman"/>
          <w:sz w:val="24"/>
          <w:szCs w:val="24"/>
        </w:rPr>
        <w:t>исполнени</w:t>
      </w:r>
      <w:r w:rsidRPr="00FD746A">
        <w:rPr>
          <w:rFonts w:ascii="Times New Roman" w:hAnsi="Times New Roman"/>
          <w:sz w:val="24"/>
          <w:szCs w:val="24"/>
        </w:rPr>
        <w:t>и</w:t>
      </w:r>
      <w:r w:rsidR="00E807B1" w:rsidRPr="00FD746A">
        <w:rPr>
          <w:rFonts w:ascii="Times New Roman" w:hAnsi="Times New Roman"/>
          <w:sz w:val="24"/>
          <w:szCs w:val="24"/>
        </w:rPr>
        <w:t xml:space="preserve"> принятых решений</w:t>
      </w:r>
      <w:r w:rsidR="00AA16C4" w:rsidRPr="00FD746A">
        <w:rPr>
          <w:rFonts w:ascii="Times New Roman" w:hAnsi="Times New Roman"/>
          <w:sz w:val="24"/>
          <w:szCs w:val="24"/>
        </w:rPr>
        <w:t>;</w:t>
      </w:r>
    </w:p>
    <w:p w:rsidR="00AA16C4" w:rsidRPr="00FD746A" w:rsidRDefault="00AA16C4" w:rsidP="00217723">
      <w:pPr>
        <w:pStyle w:val="aa"/>
        <w:tabs>
          <w:tab w:val="left" w:pos="567"/>
          <w:tab w:val="left" w:pos="993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-</w:t>
      </w:r>
      <w:r w:rsidR="00217723" w:rsidRPr="00FD746A">
        <w:rPr>
          <w:rFonts w:ascii="Times New Roman" w:hAnsi="Times New Roman"/>
          <w:sz w:val="24"/>
          <w:szCs w:val="24"/>
        </w:rPr>
        <w:t xml:space="preserve"> </w:t>
      </w:r>
      <w:r w:rsidR="00124648">
        <w:rPr>
          <w:rFonts w:ascii="Times New Roman" w:hAnsi="Times New Roman"/>
          <w:sz w:val="24"/>
          <w:szCs w:val="24"/>
        </w:rPr>
        <w:t>фальсификация</w:t>
      </w:r>
      <w:r w:rsidRPr="00FD746A">
        <w:rPr>
          <w:rFonts w:ascii="Times New Roman" w:hAnsi="Times New Roman"/>
          <w:sz w:val="24"/>
          <w:szCs w:val="24"/>
        </w:rPr>
        <w:t xml:space="preserve"> документов;</w:t>
      </w:r>
    </w:p>
    <w:p w:rsidR="00AA16C4" w:rsidRPr="00FD746A" w:rsidRDefault="00AA16C4" w:rsidP="00217723">
      <w:pPr>
        <w:pStyle w:val="aa"/>
        <w:tabs>
          <w:tab w:val="left" w:pos="567"/>
          <w:tab w:val="left" w:pos="993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- доступность сведений о собственниках помещений;</w:t>
      </w:r>
    </w:p>
    <w:p w:rsidR="00E807B1" w:rsidRPr="00FD746A" w:rsidRDefault="00AA16C4" w:rsidP="00217723">
      <w:pPr>
        <w:pStyle w:val="aa"/>
        <w:tabs>
          <w:tab w:val="left" w:pos="567"/>
          <w:tab w:val="left" w:pos="993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- друг</w:t>
      </w:r>
      <w:r w:rsidR="00217723" w:rsidRPr="00FD746A">
        <w:rPr>
          <w:rFonts w:ascii="Times New Roman" w:hAnsi="Times New Roman"/>
          <w:sz w:val="24"/>
          <w:szCs w:val="24"/>
        </w:rPr>
        <w:t>ое</w:t>
      </w:r>
      <w:r w:rsidRPr="00FD746A">
        <w:rPr>
          <w:rFonts w:ascii="Times New Roman" w:hAnsi="Times New Roman"/>
          <w:sz w:val="24"/>
          <w:szCs w:val="24"/>
        </w:rPr>
        <w:t>;</w:t>
      </w:r>
    </w:p>
    <w:p w:rsidR="00AA16C4" w:rsidRPr="00FD746A" w:rsidRDefault="00AA16C4" w:rsidP="00AA16C4">
      <w:pPr>
        <w:pStyle w:val="aa"/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 xml:space="preserve">создание и </w:t>
      </w:r>
      <w:r w:rsidR="00217723" w:rsidRPr="00FD746A">
        <w:rPr>
          <w:rFonts w:ascii="Times New Roman" w:hAnsi="Times New Roman"/>
          <w:sz w:val="24"/>
          <w:szCs w:val="24"/>
        </w:rPr>
        <w:t>деятельность</w:t>
      </w:r>
      <w:r w:rsidRPr="00FD746A">
        <w:rPr>
          <w:rFonts w:ascii="Times New Roman" w:hAnsi="Times New Roman"/>
          <w:sz w:val="24"/>
          <w:szCs w:val="24"/>
        </w:rPr>
        <w:t xml:space="preserve"> советов МКД.</w:t>
      </w:r>
    </w:p>
    <w:p w:rsidR="00E807B1" w:rsidRPr="00FD746A" w:rsidRDefault="00E807B1" w:rsidP="00E807B1">
      <w:pPr>
        <w:pStyle w:val="aa"/>
        <w:numPr>
          <w:ilvl w:val="0"/>
          <w:numId w:val="1"/>
        </w:numPr>
        <w:tabs>
          <w:tab w:val="left" w:pos="567"/>
        </w:tabs>
        <w:spacing w:after="0" w:line="240" w:lineRule="auto"/>
        <w:ind w:left="142" w:hanging="141"/>
        <w:jc w:val="both"/>
        <w:rPr>
          <w:rFonts w:ascii="Times New Roman" w:hAnsi="Times New Roman"/>
          <w:b/>
          <w:sz w:val="24"/>
          <w:szCs w:val="24"/>
        </w:rPr>
      </w:pPr>
      <w:r w:rsidRPr="00FD746A">
        <w:rPr>
          <w:rFonts w:ascii="Times New Roman" w:hAnsi="Times New Roman"/>
          <w:b/>
          <w:sz w:val="24"/>
          <w:szCs w:val="24"/>
        </w:rPr>
        <w:t xml:space="preserve">Капитальный ремонт включает следующие </w:t>
      </w:r>
      <w:r w:rsidR="00124648">
        <w:rPr>
          <w:rFonts w:ascii="Times New Roman" w:hAnsi="Times New Roman"/>
          <w:b/>
          <w:sz w:val="24"/>
          <w:szCs w:val="24"/>
        </w:rPr>
        <w:t>вопросы</w:t>
      </w:r>
      <w:r w:rsidRPr="00FD746A">
        <w:rPr>
          <w:rFonts w:ascii="Times New Roman" w:hAnsi="Times New Roman"/>
          <w:b/>
          <w:sz w:val="24"/>
          <w:szCs w:val="24"/>
        </w:rPr>
        <w:t>:</w:t>
      </w:r>
    </w:p>
    <w:p w:rsidR="00E807B1" w:rsidRPr="00FD746A" w:rsidRDefault="00E807B1" w:rsidP="00E807B1">
      <w:pPr>
        <w:pStyle w:val="aa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сроки проведения капитального ремонта;</w:t>
      </w:r>
    </w:p>
    <w:p w:rsidR="00E807B1" w:rsidRPr="00FD746A" w:rsidRDefault="00E807B1" w:rsidP="00E807B1">
      <w:pPr>
        <w:pStyle w:val="aa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размер взноса на проведение капитального ремонта;</w:t>
      </w:r>
    </w:p>
    <w:p w:rsidR="00E807B1" w:rsidRPr="00FD746A" w:rsidRDefault="00E807B1" w:rsidP="00217723">
      <w:pPr>
        <w:pStyle w:val="aa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 xml:space="preserve">отсутствие информации о региональных программах проведения капитального </w:t>
      </w:r>
      <w:r w:rsidR="00217723" w:rsidRPr="00FD746A">
        <w:rPr>
          <w:rFonts w:ascii="Times New Roman" w:hAnsi="Times New Roman"/>
          <w:sz w:val="24"/>
          <w:szCs w:val="24"/>
        </w:rPr>
        <w:t xml:space="preserve">       </w:t>
      </w:r>
      <w:r w:rsidRPr="00FD746A">
        <w:rPr>
          <w:rFonts w:ascii="Times New Roman" w:hAnsi="Times New Roman"/>
          <w:sz w:val="24"/>
          <w:szCs w:val="24"/>
        </w:rPr>
        <w:t>ремонта</w:t>
      </w:r>
      <w:r w:rsidR="00217723" w:rsidRPr="00FD746A">
        <w:rPr>
          <w:rFonts w:ascii="Times New Roman" w:hAnsi="Times New Roman"/>
          <w:sz w:val="24"/>
          <w:szCs w:val="24"/>
        </w:rPr>
        <w:t>, их актуализации</w:t>
      </w:r>
      <w:r w:rsidR="00AA16C4" w:rsidRPr="00FD746A">
        <w:rPr>
          <w:rFonts w:ascii="Times New Roman" w:hAnsi="Times New Roman"/>
          <w:sz w:val="24"/>
          <w:szCs w:val="24"/>
        </w:rPr>
        <w:t>;</w:t>
      </w:r>
    </w:p>
    <w:p w:rsidR="00AA16C4" w:rsidRPr="00FD746A" w:rsidRDefault="00AA16C4" w:rsidP="00E807B1">
      <w:pPr>
        <w:pStyle w:val="aa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качество проводимого капитального ремонта;</w:t>
      </w:r>
    </w:p>
    <w:p w:rsidR="00AA16C4" w:rsidRPr="00FD746A" w:rsidRDefault="00AA16C4" w:rsidP="00E807B1">
      <w:pPr>
        <w:pStyle w:val="aa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прочее.</w:t>
      </w:r>
    </w:p>
    <w:p w:rsidR="00E807B1" w:rsidRPr="00FD746A" w:rsidRDefault="00124648" w:rsidP="00E807B1">
      <w:pPr>
        <w:pStyle w:val="aa"/>
        <w:numPr>
          <w:ilvl w:val="0"/>
          <w:numId w:val="1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E807B1" w:rsidRPr="00FD746A">
        <w:rPr>
          <w:rFonts w:ascii="Times New Roman" w:hAnsi="Times New Roman"/>
          <w:b/>
          <w:sz w:val="24"/>
          <w:szCs w:val="24"/>
        </w:rPr>
        <w:t xml:space="preserve">остояние МКД включает следующие </w:t>
      </w:r>
      <w:r>
        <w:rPr>
          <w:rFonts w:ascii="Times New Roman" w:hAnsi="Times New Roman"/>
          <w:b/>
          <w:sz w:val="24"/>
          <w:szCs w:val="24"/>
        </w:rPr>
        <w:t>вопросы</w:t>
      </w:r>
      <w:r w:rsidR="00E807B1" w:rsidRPr="00FD746A">
        <w:rPr>
          <w:rFonts w:ascii="Times New Roman" w:hAnsi="Times New Roman"/>
          <w:b/>
          <w:sz w:val="24"/>
          <w:szCs w:val="24"/>
        </w:rPr>
        <w:t>:</w:t>
      </w:r>
    </w:p>
    <w:p w:rsidR="00E807B1" w:rsidRPr="00FD746A" w:rsidRDefault="00E807B1" w:rsidP="00E807B1">
      <w:pPr>
        <w:pStyle w:val="aa"/>
        <w:numPr>
          <w:ilvl w:val="0"/>
          <w:numId w:val="12"/>
        </w:numPr>
        <w:tabs>
          <w:tab w:val="left" w:pos="567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оказание услуг по содержанию и текущем</w:t>
      </w:r>
      <w:r w:rsidR="00AA16C4" w:rsidRPr="00FD746A">
        <w:rPr>
          <w:rFonts w:ascii="Times New Roman" w:hAnsi="Times New Roman"/>
          <w:sz w:val="24"/>
          <w:szCs w:val="24"/>
        </w:rPr>
        <w:t>у ремонту многоквартирных домов;</w:t>
      </w:r>
    </w:p>
    <w:p w:rsidR="00AA16C4" w:rsidRPr="00FD746A" w:rsidRDefault="00AA16C4" w:rsidP="00E807B1">
      <w:pPr>
        <w:pStyle w:val="aa"/>
        <w:numPr>
          <w:ilvl w:val="0"/>
          <w:numId w:val="12"/>
        </w:numPr>
        <w:tabs>
          <w:tab w:val="left" w:pos="567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фактическое состояние МКД;</w:t>
      </w:r>
    </w:p>
    <w:p w:rsidR="00AA16C4" w:rsidRPr="00FD746A" w:rsidRDefault="00AA16C4" w:rsidP="00E807B1">
      <w:pPr>
        <w:pStyle w:val="aa"/>
        <w:numPr>
          <w:ilvl w:val="0"/>
          <w:numId w:val="12"/>
        </w:numPr>
        <w:tabs>
          <w:tab w:val="left" w:pos="567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установление признаков, достаточных для признания МКД аварийным.</w:t>
      </w:r>
    </w:p>
    <w:p w:rsidR="00E807B1" w:rsidRPr="00FD746A" w:rsidRDefault="00124648" w:rsidP="00E807B1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E807B1" w:rsidRPr="00FD746A">
        <w:rPr>
          <w:rFonts w:ascii="Times New Roman" w:hAnsi="Times New Roman"/>
          <w:b/>
          <w:sz w:val="24"/>
          <w:szCs w:val="24"/>
        </w:rPr>
        <w:t>ачество предоставляемых коммунальных услуг</w:t>
      </w:r>
      <w:r w:rsidR="00217723" w:rsidRPr="00FD746A">
        <w:rPr>
          <w:rFonts w:ascii="Times New Roman" w:hAnsi="Times New Roman"/>
          <w:b/>
          <w:sz w:val="24"/>
          <w:szCs w:val="24"/>
        </w:rPr>
        <w:t>.</w:t>
      </w:r>
    </w:p>
    <w:p w:rsidR="00E807B1" w:rsidRPr="00FD746A" w:rsidRDefault="00124648" w:rsidP="00E807B1">
      <w:pPr>
        <w:pStyle w:val="aa"/>
        <w:numPr>
          <w:ilvl w:val="0"/>
          <w:numId w:val="1"/>
        </w:numPr>
        <w:tabs>
          <w:tab w:val="left" w:pos="567"/>
        </w:tabs>
        <w:spacing w:after="0" w:line="240" w:lineRule="auto"/>
        <w:ind w:left="142" w:hanging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="00E807B1" w:rsidRPr="00FD746A">
        <w:rPr>
          <w:rFonts w:ascii="Times New Roman" w:hAnsi="Times New Roman"/>
          <w:b/>
          <w:sz w:val="24"/>
          <w:szCs w:val="24"/>
        </w:rPr>
        <w:t>лагоустройство придомовой территории</w:t>
      </w:r>
      <w:r w:rsidR="00217723" w:rsidRPr="00FD746A">
        <w:rPr>
          <w:rFonts w:ascii="Times New Roman" w:hAnsi="Times New Roman"/>
          <w:b/>
          <w:sz w:val="24"/>
          <w:szCs w:val="24"/>
        </w:rPr>
        <w:t>.</w:t>
      </w:r>
    </w:p>
    <w:p w:rsidR="00E807B1" w:rsidRPr="00FD746A" w:rsidRDefault="00124648" w:rsidP="00E807B1">
      <w:pPr>
        <w:pStyle w:val="aa"/>
        <w:numPr>
          <w:ilvl w:val="0"/>
          <w:numId w:val="1"/>
        </w:numPr>
        <w:tabs>
          <w:tab w:val="left" w:pos="567"/>
        </w:tabs>
        <w:spacing w:after="0" w:line="240" w:lineRule="auto"/>
        <w:ind w:left="142" w:hanging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Вопросы, связ</w:t>
      </w:r>
      <w:r w:rsidR="00E807B1" w:rsidRPr="00FD746A">
        <w:rPr>
          <w:rFonts w:ascii="Times New Roman" w:hAnsi="Times New Roman"/>
          <w:b/>
          <w:sz w:val="24"/>
          <w:szCs w:val="24"/>
        </w:rPr>
        <w:t xml:space="preserve">анные с индивидуальными и общедомовыми приборами учета, включают </w:t>
      </w:r>
      <w:r>
        <w:rPr>
          <w:rFonts w:ascii="Times New Roman" w:hAnsi="Times New Roman"/>
          <w:b/>
          <w:sz w:val="24"/>
          <w:szCs w:val="24"/>
        </w:rPr>
        <w:t>темы</w:t>
      </w:r>
      <w:r w:rsidR="00E807B1" w:rsidRPr="00FD746A">
        <w:rPr>
          <w:rFonts w:ascii="Times New Roman" w:hAnsi="Times New Roman"/>
          <w:b/>
          <w:sz w:val="24"/>
          <w:szCs w:val="24"/>
        </w:rPr>
        <w:t>:</w:t>
      </w:r>
    </w:p>
    <w:p w:rsidR="00B339E2" w:rsidRPr="00FD746A" w:rsidRDefault="00B339E2" w:rsidP="00E807B1">
      <w:pPr>
        <w:pStyle w:val="aa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п</w:t>
      </w:r>
      <w:r w:rsidR="00E807B1" w:rsidRPr="00FD746A">
        <w:rPr>
          <w:rFonts w:ascii="Times New Roman" w:hAnsi="Times New Roman"/>
          <w:sz w:val="24"/>
          <w:szCs w:val="24"/>
        </w:rPr>
        <w:t>риобретени</w:t>
      </w:r>
      <w:r w:rsidR="00217723" w:rsidRPr="00FD746A">
        <w:rPr>
          <w:rFonts w:ascii="Times New Roman" w:hAnsi="Times New Roman"/>
          <w:sz w:val="24"/>
          <w:szCs w:val="24"/>
        </w:rPr>
        <w:t>е</w:t>
      </w:r>
      <w:r w:rsidRPr="00FD746A">
        <w:rPr>
          <w:rFonts w:ascii="Times New Roman" w:hAnsi="Times New Roman"/>
          <w:sz w:val="24"/>
          <w:szCs w:val="24"/>
        </w:rPr>
        <w:t xml:space="preserve">, </w:t>
      </w:r>
      <w:r w:rsidR="00217723" w:rsidRPr="00FD746A">
        <w:rPr>
          <w:rFonts w:ascii="Times New Roman" w:hAnsi="Times New Roman"/>
          <w:sz w:val="24"/>
          <w:szCs w:val="24"/>
        </w:rPr>
        <w:t>установка</w:t>
      </w:r>
      <w:r w:rsidRPr="00FD746A">
        <w:rPr>
          <w:rFonts w:ascii="Times New Roman" w:hAnsi="Times New Roman"/>
          <w:sz w:val="24"/>
          <w:szCs w:val="24"/>
        </w:rPr>
        <w:t>, ввод в эксплуатацию, поверка, эксплуатация;</w:t>
      </w:r>
    </w:p>
    <w:p w:rsidR="00E807B1" w:rsidRPr="00FD746A" w:rsidRDefault="00B339E2" w:rsidP="00E807B1">
      <w:pPr>
        <w:pStyle w:val="aa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установление факта невозможности установки приборов учета</w:t>
      </w:r>
      <w:r w:rsidR="00E807B1" w:rsidRPr="00FD746A">
        <w:rPr>
          <w:rFonts w:ascii="Times New Roman" w:hAnsi="Times New Roman"/>
          <w:sz w:val="24"/>
          <w:szCs w:val="24"/>
        </w:rPr>
        <w:t>.</w:t>
      </w:r>
    </w:p>
    <w:p w:rsidR="00E807B1" w:rsidRPr="00FD746A" w:rsidRDefault="00124648" w:rsidP="00E807B1">
      <w:pPr>
        <w:pStyle w:val="aa"/>
        <w:numPr>
          <w:ilvl w:val="0"/>
          <w:numId w:val="1"/>
        </w:numPr>
        <w:ind w:left="142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Действия </w:t>
      </w:r>
      <w:r w:rsidR="00E807B1" w:rsidRPr="00FD746A">
        <w:rPr>
          <w:rFonts w:ascii="Times New Roman" w:hAnsi="Times New Roman"/>
          <w:b/>
          <w:sz w:val="24"/>
          <w:szCs w:val="24"/>
        </w:rPr>
        <w:t xml:space="preserve">уполномоченных органов государственной власти и органов местного самоуправления, влияющих на соблюдение прав и законных интересов граждан в сфере </w:t>
      </w:r>
      <w:r>
        <w:rPr>
          <w:rFonts w:ascii="Times New Roman" w:hAnsi="Times New Roman"/>
          <w:b/>
          <w:sz w:val="24"/>
          <w:szCs w:val="24"/>
        </w:rPr>
        <w:t>жилищно-коммунального хозяйства.</w:t>
      </w:r>
    </w:p>
    <w:p w:rsidR="00E807B1" w:rsidRPr="00FD746A" w:rsidRDefault="00E807B1" w:rsidP="00E807B1">
      <w:pPr>
        <w:pStyle w:val="aa"/>
        <w:numPr>
          <w:ilvl w:val="0"/>
          <w:numId w:val="1"/>
        </w:numPr>
        <w:tabs>
          <w:tab w:val="left" w:pos="567"/>
        </w:tabs>
        <w:spacing w:after="0" w:line="240" w:lineRule="auto"/>
        <w:ind w:left="142" w:hanging="141"/>
        <w:jc w:val="both"/>
        <w:rPr>
          <w:rFonts w:ascii="Times New Roman" w:hAnsi="Times New Roman"/>
          <w:b/>
          <w:sz w:val="24"/>
          <w:szCs w:val="24"/>
        </w:rPr>
      </w:pPr>
      <w:r w:rsidRPr="00FD746A">
        <w:rPr>
          <w:rFonts w:ascii="Times New Roman" w:hAnsi="Times New Roman"/>
          <w:b/>
          <w:sz w:val="24"/>
          <w:szCs w:val="24"/>
        </w:rPr>
        <w:t xml:space="preserve">Аварийное и ветхое жилье включает следующие </w:t>
      </w:r>
      <w:r w:rsidR="00124648">
        <w:rPr>
          <w:rFonts w:ascii="Times New Roman" w:hAnsi="Times New Roman"/>
          <w:b/>
          <w:sz w:val="24"/>
          <w:szCs w:val="24"/>
        </w:rPr>
        <w:t>вопросы</w:t>
      </w:r>
      <w:r w:rsidRPr="00FD746A">
        <w:rPr>
          <w:rFonts w:ascii="Times New Roman" w:hAnsi="Times New Roman"/>
          <w:b/>
          <w:sz w:val="24"/>
          <w:szCs w:val="24"/>
        </w:rPr>
        <w:t>:</w:t>
      </w:r>
    </w:p>
    <w:p w:rsidR="00E807B1" w:rsidRPr="00FD746A" w:rsidRDefault="00217723" w:rsidP="00E807B1">
      <w:pPr>
        <w:pStyle w:val="aa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соблюдение установленных сроков расселения</w:t>
      </w:r>
      <w:r w:rsidR="00E807B1" w:rsidRPr="00FD746A">
        <w:rPr>
          <w:rFonts w:ascii="Times New Roman" w:hAnsi="Times New Roman"/>
          <w:sz w:val="24"/>
          <w:szCs w:val="24"/>
        </w:rPr>
        <w:t>;</w:t>
      </w:r>
    </w:p>
    <w:p w:rsidR="00E807B1" w:rsidRPr="00FD746A" w:rsidRDefault="00217723" w:rsidP="00E807B1">
      <w:pPr>
        <w:pStyle w:val="aa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качество</w:t>
      </w:r>
      <w:r w:rsidR="00E807B1" w:rsidRPr="00FD746A">
        <w:rPr>
          <w:rFonts w:ascii="Times New Roman" w:hAnsi="Times New Roman"/>
          <w:sz w:val="24"/>
          <w:szCs w:val="24"/>
        </w:rPr>
        <w:t xml:space="preserve"> вновь возводимых </w:t>
      </w:r>
      <w:r w:rsidRPr="00FD746A">
        <w:rPr>
          <w:rFonts w:ascii="Times New Roman" w:hAnsi="Times New Roman"/>
          <w:sz w:val="24"/>
          <w:szCs w:val="24"/>
        </w:rPr>
        <w:t>МКД;</w:t>
      </w:r>
    </w:p>
    <w:p w:rsidR="00217723" w:rsidRPr="00FD746A" w:rsidRDefault="00217723" w:rsidP="00E807B1">
      <w:pPr>
        <w:pStyle w:val="aa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отказ граждан от предлагаемых объектов недвижимости;</w:t>
      </w:r>
    </w:p>
    <w:p w:rsidR="00E807B1" w:rsidRPr="00FD746A" w:rsidRDefault="00E807B1" w:rsidP="00E807B1">
      <w:pPr>
        <w:pStyle w:val="aa"/>
        <w:numPr>
          <w:ilvl w:val="0"/>
          <w:numId w:val="1"/>
        </w:numPr>
        <w:tabs>
          <w:tab w:val="left" w:pos="567"/>
        </w:tabs>
        <w:spacing w:after="0" w:line="240" w:lineRule="auto"/>
        <w:ind w:left="142" w:hanging="141"/>
        <w:jc w:val="both"/>
        <w:rPr>
          <w:rFonts w:ascii="Times New Roman" w:hAnsi="Times New Roman"/>
          <w:b/>
          <w:sz w:val="24"/>
          <w:szCs w:val="24"/>
        </w:rPr>
      </w:pPr>
      <w:r w:rsidRPr="00FD746A">
        <w:rPr>
          <w:rFonts w:ascii="Times New Roman" w:hAnsi="Times New Roman"/>
          <w:b/>
          <w:sz w:val="24"/>
          <w:szCs w:val="24"/>
        </w:rPr>
        <w:t xml:space="preserve">Иные темы включают следующие </w:t>
      </w:r>
      <w:r w:rsidR="00124648">
        <w:rPr>
          <w:rFonts w:ascii="Times New Roman" w:hAnsi="Times New Roman"/>
          <w:b/>
          <w:sz w:val="24"/>
          <w:szCs w:val="24"/>
        </w:rPr>
        <w:t>вопросы</w:t>
      </w:r>
      <w:r w:rsidRPr="00FD746A">
        <w:rPr>
          <w:rFonts w:ascii="Times New Roman" w:hAnsi="Times New Roman"/>
          <w:b/>
          <w:sz w:val="24"/>
          <w:szCs w:val="24"/>
        </w:rPr>
        <w:t>:</w:t>
      </w:r>
    </w:p>
    <w:p w:rsidR="00E807B1" w:rsidRPr="00FD746A" w:rsidRDefault="00217723" w:rsidP="00E807B1">
      <w:pPr>
        <w:pStyle w:val="aa"/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законность использования</w:t>
      </w:r>
      <w:r w:rsidR="00E807B1" w:rsidRPr="00FD746A">
        <w:rPr>
          <w:rFonts w:ascii="Times New Roman" w:hAnsi="Times New Roman"/>
          <w:sz w:val="24"/>
          <w:szCs w:val="24"/>
        </w:rPr>
        <w:t xml:space="preserve"> общего имущества </w:t>
      </w:r>
      <w:r w:rsidRPr="00FD746A">
        <w:rPr>
          <w:rFonts w:ascii="Times New Roman" w:hAnsi="Times New Roman"/>
          <w:sz w:val="24"/>
          <w:szCs w:val="24"/>
        </w:rPr>
        <w:t>в многоквартирном доме</w:t>
      </w:r>
      <w:r w:rsidR="006802BA" w:rsidRPr="00FD746A">
        <w:rPr>
          <w:rFonts w:ascii="Times New Roman" w:hAnsi="Times New Roman"/>
          <w:sz w:val="24"/>
          <w:szCs w:val="24"/>
        </w:rPr>
        <w:t xml:space="preserve"> </w:t>
      </w:r>
      <w:r w:rsidR="00DF62EB" w:rsidRPr="00FD746A">
        <w:rPr>
          <w:rFonts w:ascii="Times New Roman" w:hAnsi="Times New Roman"/>
          <w:sz w:val="24"/>
          <w:szCs w:val="24"/>
        </w:rPr>
        <w:t>(301 обращения, что составляет 0,94 % от общего числа обращений за 2016 год)</w:t>
      </w:r>
      <w:r w:rsidR="00E807B1" w:rsidRPr="00FD746A">
        <w:rPr>
          <w:rFonts w:ascii="Times New Roman" w:hAnsi="Times New Roman"/>
          <w:sz w:val="24"/>
          <w:szCs w:val="24"/>
        </w:rPr>
        <w:t>;</w:t>
      </w:r>
    </w:p>
    <w:p w:rsidR="00E807B1" w:rsidRPr="00FD746A" w:rsidRDefault="006802BA" w:rsidP="00E807B1">
      <w:pPr>
        <w:pStyle w:val="aa"/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социальный нае</w:t>
      </w:r>
      <w:r w:rsidR="00E807B1" w:rsidRPr="00FD746A">
        <w:rPr>
          <w:rFonts w:ascii="Times New Roman" w:hAnsi="Times New Roman"/>
          <w:sz w:val="24"/>
          <w:szCs w:val="24"/>
        </w:rPr>
        <w:t>м;</w:t>
      </w:r>
    </w:p>
    <w:p w:rsidR="00143683" w:rsidRPr="00FD746A" w:rsidRDefault="00143683" w:rsidP="00E807B1">
      <w:pPr>
        <w:pStyle w:val="aa"/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lastRenderedPageBreak/>
        <w:t>ГИС ЖКХ</w:t>
      </w:r>
      <w:r w:rsidR="00DF62EB" w:rsidRPr="00FD746A">
        <w:rPr>
          <w:rFonts w:ascii="Times New Roman" w:hAnsi="Times New Roman"/>
          <w:sz w:val="24"/>
          <w:szCs w:val="24"/>
        </w:rPr>
        <w:t xml:space="preserve"> (108 обращения, что составляет 0,34 % от общего числа обращений за 2016 год)</w:t>
      </w:r>
      <w:r w:rsidRPr="00FD746A">
        <w:rPr>
          <w:rFonts w:ascii="Times New Roman" w:hAnsi="Times New Roman"/>
          <w:sz w:val="24"/>
          <w:szCs w:val="24"/>
        </w:rPr>
        <w:t>;</w:t>
      </w:r>
    </w:p>
    <w:p w:rsidR="00E807B1" w:rsidRPr="00FD746A" w:rsidRDefault="00E807B1" w:rsidP="00E807B1">
      <w:pPr>
        <w:pStyle w:val="aa"/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t>другие.</w:t>
      </w:r>
    </w:p>
    <w:p w:rsidR="00E807B1" w:rsidRPr="00FD746A" w:rsidRDefault="00E807B1" w:rsidP="00552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7B1" w:rsidRPr="00FD746A" w:rsidRDefault="00E807B1" w:rsidP="00935BE3">
      <w:pPr>
        <w:rPr>
          <w:rFonts w:ascii="Times New Roman" w:eastAsiaTheme="majorEastAsia" w:hAnsi="Times New Roman"/>
          <w:b/>
          <w:bCs/>
          <w:color w:val="4F81BD" w:themeColor="accent1"/>
          <w:sz w:val="24"/>
          <w:szCs w:val="24"/>
        </w:rPr>
      </w:pPr>
      <w:r w:rsidRPr="00FD746A">
        <w:rPr>
          <w:rFonts w:ascii="Times New Roman" w:hAnsi="Times New Roman"/>
          <w:sz w:val="24"/>
          <w:szCs w:val="24"/>
        </w:rPr>
        <w:br w:type="page"/>
      </w:r>
    </w:p>
    <w:p w:rsidR="00961F0D" w:rsidRPr="00FD746A" w:rsidRDefault="00961F0D" w:rsidP="005D1144">
      <w:pPr>
        <w:rPr>
          <w:rFonts w:ascii="Times New Roman" w:hAnsi="Times New Roman"/>
          <w:b/>
          <w:sz w:val="24"/>
          <w:szCs w:val="24"/>
        </w:rPr>
      </w:pPr>
    </w:p>
    <w:p w:rsidR="00961F0D" w:rsidRPr="00FD746A" w:rsidRDefault="00961F0D" w:rsidP="00961F0D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61F0D" w:rsidRPr="00FD746A" w:rsidRDefault="00961F0D" w:rsidP="00961F0D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61F0D" w:rsidRPr="00FD746A" w:rsidRDefault="00961F0D" w:rsidP="00961F0D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61F0D" w:rsidRPr="00FD746A" w:rsidRDefault="00961F0D" w:rsidP="00961F0D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05DAB" w:rsidRPr="00FD746A" w:rsidRDefault="00B05DAB" w:rsidP="00961F0D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61F0D" w:rsidRPr="00FD746A" w:rsidRDefault="00961F0D" w:rsidP="00B05DAB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61F0D" w:rsidRPr="00FD746A" w:rsidRDefault="00961F0D" w:rsidP="00B05D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746A">
        <w:rPr>
          <w:rFonts w:ascii="Times New Roman" w:hAnsi="Times New Roman"/>
          <w:b/>
          <w:sz w:val="24"/>
          <w:szCs w:val="24"/>
        </w:rPr>
        <w:t>Что больше всего беспокоит граждан России</w:t>
      </w:r>
    </w:p>
    <w:p w:rsidR="00B05DAB" w:rsidRPr="00FD746A" w:rsidRDefault="00961F0D" w:rsidP="00B05D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746A">
        <w:rPr>
          <w:rFonts w:ascii="Times New Roman" w:hAnsi="Times New Roman"/>
          <w:b/>
          <w:sz w:val="24"/>
          <w:szCs w:val="24"/>
        </w:rPr>
        <w:t>в жилищно-коммунальной сфере по итогам 2016 года?</w:t>
      </w:r>
      <w:r w:rsidRPr="00FD746A">
        <w:rPr>
          <w:rFonts w:ascii="Times New Roman" w:hAnsi="Times New Roman"/>
          <w:b/>
          <w:sz w:val="24"/>
          <w:szCs w:val="24"/>
        </w:rPr>
        <w:br/>
        <w:t>(ТОП-10 тем обращений по версии НП «ЖКХ Контроль»)</w:t>
      </w:r>
    </w:p>
    <w:p w:rsidR="00AF7C81" w:rsidRPr="00FD746A" w:rsidRDefault="00AF7C81" w:rsidP="00AF7C81">
      <w:pPr>
        <w:rPr>
          <w:rFonts w:ascii="Times New Roman" w:hAnsi="Times New Roman"/>
          <w:sz w:val="24"/>
          <w:szCs w:val="24"/>
          <w:u w:val="single"/>
        </w:rPr>
      </w:pPr>
    </w:p>
    <w:p w:rsidR="00DF62EB" w:rsidRPr="00FD746A" w:rsidRDefault="00DF62EB" w:rsidP="00AF7C81">
      <w:pPr>
        <w:rPr>
          <w:rFonts w:ascii="Times New Roman" w:hAnsi="Times New Roman"/>
          <w:sz w:val="24"/>
          <w:szCs w:val="24"/>
          <w:u w:val="single"/>
        </w:rPr>
      </w:pPr>
      <w:r w:rsidRPr="00FD746A">
        <w:rPr>
          <w:rFonts w:ascii="Times New Roman" w:hAnsi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2B0D25CF" wp14:editId="32703930">
            <wp:extent cx="5939790" cy="4247787"/>
            <wp:effectExtent l="19050" t="0" r="22860" b="363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DF62EB" w:rsidRPr="00FD746A" w:rsidSect="00AA1FD2">
      <w:headerReference w:type="default" r:id="rId10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FB" w:rsidRDefault="005E5AFB" w:rsidP="001B78BB">
      <w:pPr>
        <w:spacing w:after="0" w:line="240" w:lineRule="auto"/>
      </w:pPr>
      <w:r>
        <w:separator/>
      </w:r>
    </w:p>
  </w:endnote>
  <w:endnote w:type="continuationSeparator" w:id="0">
    <w:p w:rsidR="005E5AFB" w:rsidRDefault="005E5AFB" w:rsidP="001B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FB" w:rsidRDefault="005E5AFB" w:rsidP="001B78BB">
      <w:pPr>
        <w:spacing w:after="0" w:line="240" w:lineRule="auto"/>
      </w:pPr>
      <w:r>
        <w:separator/>
      </w:r>
    </w:p>
  </w:footnote>
  <w:footnote w:type="continuationSeparator" w:id="0">
    <w:p w:rsidR="005E5AFB" w:rsidRDefault="005E5AFB" w:rsidP="001B7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50" w:rsidRDefault="00EF4750">
    <w:pPr>
      <w:pStyle w:val="a6"/>
    </w:pPr>
  </w:p>
  <w:p w:rsidR="00EF4750" w:rsidRDefault="00EF47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EA7"/>
    <w:multiLevelType w:val="hybridMultilevel"/>
    <w:tmpl w:val="64546070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">
    <w:nsid w:val="1D696E96"/>
    <w:multiLevelType w:val="hybridMultilevel"/>
    <w:tmpl w:val="8DD4940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107D9A"/>
    <w:multiLevelType w:val="hybridMultilevel"/>
    <w:tmpl w:val="44920A5C"/>
    <w:lvl w:ilvl="0" w:tplc="EAF6853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F23451"/>
    <w:multiLevelType w:val="hybridMultilevel"/>
    <w:tmpl w:val="F29AA6F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20C30E59"/>
    <w:multiLevelType w:val="hybridMultilevel"/>
    <w:tmpl w:val="307086E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2930503F"/>
    <w:multiLevelType w:val="hybridMultilevel"/>
    <w:tmpl w:val="9B5CC29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2AF839A9"/>
    <w:multiLevelType w:val="hybridMultilevel"/>
    <w:tmpl w:val="8470385C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>
    <w:nsid w:val="32E3605C"/>
    <w:multiLevelType w:val="hybridMultilevel"/>
    <w:tmpl w:val="EFB2105A"/>
    <w:lvl w:ilvl="0" w:tplc="04190013">
      <w:start w:val="1"/>
      <w:numFmt w:val="upperRoman"/>
      <w:lvlText w:val="%1."/>
      <w:lvlJc w:val="righ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8">
    <w:nsid w:val="3B8B11CF"/>
    <w:multiLevelType w:val="hybridMultilevel"/>
    <w:tmpl w:val="9A78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F67ED"/>
    <w:multiLevelType w:val="hybridMultilevel"/>
    <w:tmpl w:val="74402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90686"/>
    <w:multiLevelType w:val="hybridMultilevel"/>
    <w:tmpl w:val="EC2267A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4FF37031"/>
    <w:multiLevelType w:val="hybridMultilevel"/>
    <w:tmpl w:val="A990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92E30"/>
    <w:multiLevelType w:val="hybridMultilevel"/>
    <w:tmpl w:val="2452A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3240AB"/>
    <w:multiLevelType w:val="hybridMultilevel"/>
    <w:tmpl w:val="2A5EB0E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7B"/>
    <w:rsid w:val="000079CD"/>
    <w:rsid w:val="00021C62"/>
    <w:rsid w:val="00044BF5"/>
    <w:rsid w:val="00061B5C"/>
    <w:rsid w:val="00080E06"/>
    <w:rsid w:val="000A06C0"/>
    <w:rsid w:val="000A0D32"/>
    <w:rsid w:val="000B66A6"/>
    <w:rsid w:val="000C603F"/>
    <w:rsid w:val="00100960"/>
    <w:rsid w:val="00115C8D"/>
    <w:rsid w:val="00117FD0"/>
    <w:rsid w:val="00123CE5"/>
    <w:rsid w:val="00124648"/>
    <w:rsid w:val="00125E8E"/>
    <w:rsid w:val="0012689B"/>
    <w:rsid w:val="001414DD"/>
    <w:rsid w:val="0014208E"/>
    <w:rsid w:val="001424B7"/>
    <w:rsid w:val="00143683"/>
    <w:rsid w:val="001744C2"/>
    <w:rsid w:val="001944DA"/>
    <w:rsid w:val="001A439B"/>
    <w:rsid w:val="001B7693"/>
    <w:rsid w:val="001B78BB"/>
    <w:rsid w:val="001E0131"/>
    <w:rsid w:val="001E767A"/>
    <w:rsid w:val="001F223C"/>
    <w:rsid w:val="00200016"/>
    <w:rsid w:val="00217723"/>
    <w:rsid w:val="0024032B"/>
    <w:rsid w:val="00257B6A"/>
    <w:rsid w:val="00296FAA"/>
    <w:rsid w:val="002B142E"/>
    <w:rsid w:val="002B438A"/>
    <w:rsid w:val="002D4039"/>
    <w:rsid w:val="00314845"/>
    <w:rsid w:val="00390A4E"/>
    <w:rsid w:val="003C7CEC"/>
    <w:rsid w:val="003D7183"/>
    <w:rsid w:val="003E0FC3"/>
    <w:rsid w:val="00406DFB"/>
    <w:rsid w:val="0041445B"/>
    <w:rsid w:val="0043080D"/>
    <w:rsid w:val="00442C8E"/>
    <w:rsid w:val="004537C9"/>
    <w:rsid w:val="004957C5"/>
    <w:rsid w:val="004B5E54"/>
    <w:rsid w:val="004D3561"/>
    <w:rsid w:val="004D78CB"/>
    <w:rsid w:val="00527AE1"/>
    <w:rsid w:val="0055225F"/>
    <w:rsid w:val="00560FF7"/>
    <w:rsid w:val="00571FD6"/>
    <w:rsid w:val="00572C06"/>
    <w:rsid w:val="00574C73"/>
    <w:rsid w:val="005C2DA3"/>
    <w:rsid w:val="005D1144"/>
    <w:rsid w:val="005D596E"/>
    <w:rsid w:val="005E5AFB"/>
    <w:rsid w:val="00601900"/>
    <w:rsid w:val="00642125"/>
    <w:rsid w:val="00677912"/>
    <w:rsid w:val="006802BA"/>
    <w:rsid w:val="006A4853"/>
    <w:rsid w:val="006B03AA"/>
    <w:rsid w:val="006C77DE"/>
    <w:rsid w:val="006D0026"/>
    <w:rsid w:val="006D3531"/>
    <w:rsid w:val="006E1127"/>
    <w:rsid w:val="007009EF"/>
    <w:rsid w:val="0071397F"/>
    <w:rsid w:val="00736085"/>
    <w:rsid w:val="00752E70"/>
    <w:rsid w:val="00777628"/>
    <w:rsid w:val="00792745"/>
    <w:rsid w:val="007A6F1C"/>
    <w:rsid w:val="007D612A"/>
    <w:rsid w:val="007F13DE"/>
    <w:rsid w:val="007F2E56"/>
    <w:rsid w:val="0080243E"/>
    <w:rsid w:val="008037B8"/>
    <w:rsid w:val="00806F6F"/>
    <w:rsid w:val="008C0960"/>
    <w:rsid w:val="008E0697"/>
    <w:rsid w:val="009241A3"/>
    <w:rsid w:val="009260FD"/>
    <w:rsid w:val="00935A76"/>
    <w:rsid w:val="00935BE3"/>
    <w:rsid w:val="00943D83"/>
    <w:rsid w:val="00961F0D"/>
    <w:rsid w:val="00993CE8"/>
    <w:rsid w:val="009D10AF"/>
    <w:rsid w:val="00A03F94"/>
    <w:rsid w:val="00A30B3D"/>
    <w:rsid w:val="00A3320A"/>
    <w:rsid w:val="00A535D7"/>
    <w:rsid w:val="00A832E3"/>
    <w:rsid w:val="00AA16C4"/>
    <w:rsid w:val="00AA1FD2"/>
    <w:rsid w:val="00AA6A48"/>
    <w:rsid w:val="00AC26F4"/>
    <w:rsid w:val="00AE5361"/>
    <w:rsid w:val="00AE5889"/>
    <w:rsid w:val="00AF7C81"/>
    <w:rsid w:val="00B05DAB"/>
    <w:rsid w:val="00B13B0B"/>
    <w:rsid w:val="00B1779E"/>
    <w:rsid w:val="00B21740"/>
    <w:rsid w:val="00B264AF"/>
    <w:rsid w:val="00B339E2"/>
    <w:rsid w:val="00B406A0"/>
    <w:rsid w:val="00B80646"/>
    <w:rsid w:val="00BA1898"/>
    <w:rsid w:val="00BA18A2"/>
    <w:rsid w:val="00BA4660"/>
    <w:rsid w:val="00BC10D0"/>
    <w:rsid w:val="00BD1A78"/>
    <w:rsid w:val="00BD31DF"/>
    <w:rsid w:val="00BD431E"/>
    <w:rsid w:val="00BF0A1C"/>
    <w:rsid w:val="00BF2C03"/>
    <w:rsid w:val="00C05863"/>
    <w:rsid w:val="00C751A0"/>
    <w:rsid w:val="00C82462"/>
    <w:rsid w:val="00C86A5D"/>
    <w:rsid w:val="00CC260E"/>
    <w:rsid w:val="00CD7BE2"/>
    <w:rsid w:val="00D14B59"/>
    <w:rsid w:val="00D23E1B"/>
    <w:rsid w:val="00D26935"/>
    <w:rsid w:val="00D30ED4"/>
    <w:rsid w:val="00D32067"/>
    <w:rsid w:val="00D334FA"/>
    <w:rsid w:val="00D5107B"/>
    <w:rsid w:val="00D91C87"/>
    <w:rsid w:val="00DA3E03"/>
    <w:rsid w:val="00DB704B"/>
    <w:rsid w:val="00DD6688"/>
    <w:rsid w:val="00DE08E2"/>
    <w:rsid w:val="00DE7192"/>
    <w:rsid w:val="00DF62EB"/>
    <w:rsid w:val="00E01770"/>
    <w:rsid w:val="00E05CD5"/>
    <w:rsid w:val="00E14DE1"/>
    <w:rsid w:val="00E36B6A"/>
    <w:rsid w:val="00E50097"/>
    <w:rsid w:val="00E75617"/>
    <w:rsid w:val="00E807B1"/>
    <w:rsid w:val="00E8380B"/>
    <w:rsid w:val="00EA2190"/>
    <w:rsid w:val="00EA3F9B"/>
    <w:rsid w:val="00EA573E"/>
    <w:rsid w:val="00EB5EDD"/>
    <w:rsid w:val="00ED1B7A"/>
    <w:rsid w:val="00EF4750"/>
    <w:rsid w:val="00F17E92"/>
    <w:rsid w:val="00F307CA"/>
    <w:rsid w:val="00F60F40"/>
    <w:rsid w:val="00F72FAA"/>
    <w:rsid w:val="00F7469D"/>
    <w:rsid w:val="00FD5677"/>
    <w:rsid w:val="00FD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0A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07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89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7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8B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7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8B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993C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0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0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961F0D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semiHidden/>
    <w:unhideWhenUsed/>
    <w:qFormat/>
    <w:rsid w:val="00961F0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0A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07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89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7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8B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7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8B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993C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0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0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961F0D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semiHidden/>
    <w:unhideWhenUsed/>
    <w:qFormat/>
    <w:rsid w:val="00961F0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44;&#1054;&#1050;&#1059;&#1052;&#1045;&#1053;&#1058;&#1067;\&#1053;&#1055;%20&#1046;&#1050;&#1061;%20&#1050;&#1086;&#1085;&#1090;&#1088;&#1086;&#1083;&#1100;\&#1086;&#1090;&#1095;&#1077;&#1090;&#1099;\&#1086;&#1090;&#1095;&#1077;&#1090;%202016\&#1089;&#1074;&#1086;&#1076;&#1085;&#1099;&#1077;%20&#1089;&#1074;&#1077;&#1076;&#1077;&#1085;&#1080;&#1103;%20&#1082;%20&#1086;&#1090;&#1095;&#1077;&#1090;&#1091;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104065309604307E-2"/>
          <c:y val="8.640418140473663E-2"/>
          <c:w val="0.53517560847139312"/>
          <c:h val="0.8165674694257155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17,37%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12,94%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11,98 %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10,56 %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4,82 %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2,66 %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1,31 %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1,13 %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15,23 %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'ТОП 10'!$A$1:$J$1</c:f>
              <c:strCache>
                <c:ptCount val="10"/>
                <c:pt idx="0">
                  <c:v>Качество коммунальных услуг</c:v>
                </c:pt>
                <c:pt idx="1">
                  <c:v>Начисление платы за ЖКУ </c:v>
                </c:pt>
                <c:pt idx="2">
                  <c:v>Управление МКД</c:v>
                </c:pt>
                <c:pt idx="3">
                  <c:v>Неудовлетворительное состояние МКД</c:v>
                </c:pt>
                <c:pt idx="4">
                  <c:v>Капитальный ремонт</c:v>
                </c:pt>
                <c:pt idx="5">
                  <c:v>Неудовлетворительное придомовое благоустройство</c:v>
                </c:pt>
                <c:pt idx="6">
                  <c:v>Проблемы с приборами учета</c:v>
                </c:pt>
                <c:pt idx="7">
                  <c:v>Жалобы на бездействие уполномоченных органов власти</c:v>
                </c:pt>
                <c:pt idx="8">
                  <c:v>Аварийное и ветхое жилье</c:v>
                </c:pt>
                <c:pt idx="9">
                  <c:v>Иные темы</c:v>
                </c:pt>
              </c:strCache>
            </c:strRef>
          </c:cat>
          <c:val>
            <c:numRef>
              <c:f>'ТОП 10'!$A$2:$J$2</c:f>
              <c:numCache>
                <c:formatCode>General</c:formatCode>
                <c:ptCount val="10"/>
                <c:pt idx="0">
                  <c:v>7069</c:v>
                </c:pt>
                <c:pt idx="1">
                  <c:v>5581</c:v>
                </c:pt>
                <c:pt idx="2">
                  <c:v>4158</c:v>
                </c:pt>
                <c:pt idx="3">
                  <c:v>3851</c:v>
                </c:pt>
                <c:pt idx="4">
                  <c:v>3394</c:v>
                </c:pt>
                <c:pt idx="5">
                  <c:v>1550</c:v>
                </c:pt>
                <c:pt idx="6">
                  <c:v>854</c:v>
                </c:pt>
                <c:pt idx="7">
                  <c:v>422</c:v>
                </c:pt>
                <c:pt idx="8">
                  <c:v>363</c:v>
                </c:pt>
                <c:pt idx="9">
                  <c:v>4893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'ТОП 10'!$A$1:$J$1</c:f>
              <c:strCache>
                <c:ptCount val="10"/>
                <c:pt idx="0">
                  <c:v>Качество коммунальных услуг</c:v>
                </c:pt>
                <c:pt idx="1">
                  <c:v>Начисление платы за ЖКУ </c:v>
                </c:pt>
                <c:pt idx="2">
                  <c:v>Управление МКД</c:v>
                </c:pt>
                <c:pt idx="3">
                  <c:v>Неудовлетворительное состояние МКД</c:v>
                </c:pt>
                <c:pt idx="4">
                  <c:v>Капитальный ремонт</c:v>
                </c:pt>
                <c:pt idx="5">
                  <c:v>Неудовлетворительное придомовое благоустройство</c:v>
                </c:pt>
                <c:pt idx="6">
                  <c:v>Проблемы с приборами учета</c:v>
                </c:pt>
                <c:pt idx="7">
                  <c:v>Жалобы на бездействие уполномоченных органов власти</c:v>
                </c:pt>
                <c:pt idx="8">
                  <c:v>Аварийное и ветхое жилье</c:v>
                </c:pt>
                <c:pt idx="9">
                  <c:v>Иные темы</c:v>
                </c:pt>
              </c:strCache>
            </c:strRef>
          </c:cat>
          <c:val>
            <c:numRef>
              <c:f>'ТОП 10'!$A$3:$J$3</c:f>
              <c:numCache>
                <c:formatCode>0.00</c:formatCode>
                <c:ptCount val="10"/>
                <c:pt idx="0">
                  <c:v>21.997821689746381</c:v>
                </c:pt>
                <c:pt idx="1">
                  <c:v>17.367356464913644</c:v>
                </c:pt>
                <c:pt idx="2">
                  <c:v>12.939162906488253</c:v>
                </c:pt>
                <c:pt idx="3">
                  <c:v>11.983818266687413</c:v>
                </c:pt>
                <c:pt idx="4">
                  <c:v>10.56169285825424</c:v>
                </c:pt>
                <c:pt idx="5">
                  <c:v>4.8234012758674343</c:v>
                </c:pt>
                <c:pt idx="6">
                  <c:v>2.6575385094134121</c:v>
                </c:pt>
                <c:pt idx="7">
                  <c:v>1.3132098957522951</c:v>
                </c:pt>
                <c:pt idx="8">
                  <c:v>1.1296094600902442</c:v>
                </c:pt>
                <c:pt idx="9">
                  <c:v>15.226388672786682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B0165-39D2-48B7-9C3C-EDB7FF15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1запуск BeCompact</dc:creator>
  <cp:lastModifiedBy>AKozlov</cp:lastModifiedBy>
  <cp:revision>2</cp:revision>
  <cp:lastPrinted>2017-02-07T08:19:00Z</cp:lastPrinted>
  <dcterms:created xsi:type="dcterms:W3CDTF">2017-02-07T15:45:00Z</dcterms:created>
  <dcterms:modified xsi:type="dcterms:W3CDTF">2017-02-07T15:45:00Z</dcterms:modified>
</cp:coreProperties>
</file>