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7F" w:rsidRPr="001D37AB" w:rsidRDefault="00A20D7F" w:rsidP="000803B6">
      <w:pPr>
        <w:pStyle w:val="a4"/>
        <w:numPr>
          <w:ilvl w:val="0"/>
          <w:numId w:val="24"/>
        </w:numPr>
        <w:rPr>
          <w:rFonts w:cs="Times New Roman"/>
        </w:rPr>
      </w:pPr>
      <w:r w:rsidRPr="001D37AB">
        <w:rPr>
          <w:rFonts w:cs="Times New Roman"/>
        </w:rPr>
        <w:br w:type="page"/>
      </w:r>
    </w:p>
    <w:p w:rsidR="00A20D7F" w:rsidRPr="00C44860" w:rsidRDefault="00A20D7F" w:rsidP="000803B6">
      <w:pPr>
        <w:pStyle w:val="2"/>
        <w:ind w:left="70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4486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2</w:t>
      </w:r>
    </w:p>
    <w:p w:rsidR="00A20D7F" w:rsidRPr="00C44860" w:rsidRDefault="00A20D7F" w:rsidP="000803B6">
      <w:pPr>
        <w:pStyle w:val="2"/>
        <w:rPr>
          <w:rFonts w:ascii="Times New Roman" w:hAnsi="Times New Roman" w:cs="Times New Roman"/>
          <w:sz w:val="24"/>
          <w:szCs w:val="24"/>
        </w:rPr>
      </w:pPr>
      <w:r w:rsidRPr="00C44860">
        <w:rPr>
          <w:rFonts w:ascii="Times New Roman" w:hAnsi="Times New Roman" w:cs="Times New Roman"/>
          <w:sz w:val="24"/>
          <w:szCs w:val="24"/>
        </w:rPr>
        <w:t>Методика формирования перечня проблем</w:t>
      </w:r>
      <w:r w:rsidR="000507B1">
        <w:rPr>
          <w:rFonts w:ascii="Times New Roman" w:hAnsi="Times New Roman" w:cs="Times New Roman"/>
          <w:sz w:val="24"/>
          <w:szCs w:val="24"/>
        </w:rPr>
        <w:t xml:space="preserve"> для рейтинга</w:t>
      </w:r>
      <w:bookmarkStart w:id="0" w:name="_GoBack"/>
      <w:bookmarkEnd w:id="0"/>
    </w:p>
    <w:p w:rsidR="00A20D7F" w:rsidRPr="00C44860" w:rsidRDefault="00A20D7F" w:rsidP="00080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D7F" w:rsidRPr="00C44860" w:rsidRDefault="00A20D7F" w:rsidP="000803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4860">
        <w:rPr>
          <w:rFonts w:ascii="Times New Roman" w:hAnsi="Times New Roman" w:cs="Times New Roman"/>
          <w:sz w:val="24"/>
          <w:szCs w:val="24"/>
        </w:rPr>
        <w:t xml:space="preserve">Общероссийский центр общественного контроля в сфере ЖКХ осуществляет формирование и координацию в субъектах РФ сети общественных организаций в сфере ЖКХ. В ходе отчетного периода в 75 субъектах РФ действовали Центры общественного контроля, объединяющие НКО, работающие в сфере жилищного просвещения и защиты прав граждан. </w:t>
      </w:r>
    </w:p>
    <w:p w:rsidR="00A20D7F" w:rsidRPr="00C44860" w:rsidRDefault="00A20D7F" w:rsidP="000803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4860">
        <w:rPr>
          <w:rFonts w:ascii="Times New Roman" w:hAnsi="Times New Roman" w:cs="Times New Roman"/>
          <w:sz w:val="24"/>
          <w:szCs w:val="24"/>
        </w:rPr>
        <w:t xml:space="preserve">В центрах работали общественные приемные,  в ряде регионов открыты телефоны «горячих линий», которые в ежедневном режиме осуществляли прием обращений и жалоб от граждан. </w:t>
      </w:r>
    </w:p>
    <w:p w:rsidR="00A20D7F" w:rsidRPr="00C44860" w:rsidRDefault="00A20D7F" w:rsidP="000803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4860">
        <w:rPr>
          <w:rFonts w:ascii="Times New Roman" w:hAnsi="Times New Roman" w:cs="Times New Roman"/>
          <w:sz w:val="24"/>
          <w:szCs w:val="24"/>
        </w:rPr>
        <w:t>При составлении рейтинга «список основных проблем в сфере жилищно-коммунального хозяйства» использованы обращения, поступившие в региональные центры общественного контроля на горячие линии, в рамках приема граждан, по электронной почте, посредством Почты России, через официальные сайты. В свою очередь, в Общероссийский центр обращения поступали аналогичными путями.</w:t>
      </w:r>
    </w:p>
    <w:p w:rsidR="00A20D7F" w:rsidRPr="00C44860" w:rsidRDefault="00A20D7F" w:rsidP="000803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4860">
        <w:rPr>
          <w:rFonts w:ascii="Times New Roman" w:hAnsi="Times New Roman" w:cs="Times New Roman"/>
          <w:sz w:val="24"/>
          <w:szCs w:val="24"/>
        </w:rPr>
        <w:t>Формирование рейтинга проблем в сфере ЖКХ осуществлялось в несколько этапов.</w:t>
      </w:r>
    </w:p>
    <w:p w:rsidR="00A20D7F" w:rsidRPr="00C44860" w:rsidRDefault="00A20D7F" w:rsidP="000803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4860">
        <w:rPr>
          <w:rFonts w:ascii="Times New Roman" w:hAnsi="Times New Roman" w:cs="Times New Roman"/>
          <w:sz w:val="24"/>
          <w:szCs w:val="24"/>
        </w:rPr>
        <w:t>На первоначальном этапе был составлен рубрикатор проблем (тем), встречающихся  в сфере жилищно-коммунального хозяйства. Перечень направлен в Региональные центры.</w:t>
      </w:r>
    </w:p>
    <w:p w:rsidR="00A20D7F" w:rsidRPr="00C44860" w:rsidRDefault="00A20D7F" w:rsidP="000803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4860">
        <w:rPr>
          <w:rFonts w:ascii="Times New Roman" w:hAnsi="Times New Roman" w:cs="Times New Roman"/>
          <w:sz w:val="24"/>
          <w:szCs w:val="24"/>
        </w:rPr>
        <w:t>На втором этапе Региональные центры общественного контроля в сфере жилищно-коммунального хозяйства распределили все поступившие обращения по ранее сформулированным темам.</w:t>
      </w:r>
    </w:p>
    <w:p w:rsidR="00A20D7F" w:rsidRPr="00C44860" w:rsidRDefault="00A20D7F" w:rsidP="000803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4860">
        <w:rPr>
          <w:rFonts w:ascii="Times New Roman" w:hAnsi="Times New Roman" w:cs="Times New Roman"/>
          <w:sz w:val="24"/>
          <w:szCs w:val="24"/>
        </w:rPr>
        <w:t>На следующем этапе все собранные данные из региональных центров были перенаправлены в Национальный центр.</w:t>
      </w:r>
    </w:p>
    <w:p w:rsidR="00A20D7F" w:rsidRPr="00C44860" w:rsidRDefault="00A20D7F" w:rsidP="000803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4860">
        <w:rPr>
          <w:rFonts w:ascii="Times New Roman" w:hAnsi="Times New Roman" w:cs="Times New Roman"/>
          <w:sz w:val="24"/>
          <w:szCs w:val="24"/>
        </w:rPr>
        <w:t>На последнем этапе эксперты Национального центра суммировали информацию, полученную из регионов, с данными, сформированными на основании обращений, которые поступали в Национальный центр, обобщили некоторые рубрики между собой.</w:t>
      </w:r>
    </w:p>
    <w:p w:rsidR="00A20D7F" w:rsidRPr="00C44860" w:rsidRDefault="00A20D7F" w:rsidP="000803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0D7F" w:rsidRPr="00C44860" w:rsidRDefault="00A20D7F" w:rsidP="000803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4860">
        <w:rPr>
          <w:rFonts w:ascii="Times New Roman" w:hAnsi="Times New Roman" w:cs="Times New Roman"/>
          <w:sz w:val="24"/>
          <w:szCs w:val="24"/>
        </w:rPr>
        <w:t>Итоговый рубрикатор проблем выглядит следующим образом:</w:t>
      </w:r>
    </w:p>
    <w:p w:rsidR="00A20D7F" w:rsidRPr="00C44860" w:rsidRDefault="00A20D7F" w:rsidP="000803B6">
      <w:pPr>
        <w:pStyle w:val="a4"/>
        <w:tabs>
          <w:tab w:val="left" w:pos="567"/>
        </w:tabs>
        <w:ind w:left="0" w:firstLine="709"/>
        <w:rPr>
          <w:rFonts w:cs="Times New Roman"/>
          <w:b/>
        </w:rPr>
      </w:pPr>
    </w:p>
    <w:p w:rsidR="00A20D7F" w:rsidRPr="00C44860" w:rsidRDefault="00A20D7F" w:rsidP="000803B6">
      <w:pPr>
        <w:pStyle w:val="a4"/>
        <w:widowControl/>
        <w:numPr>
          <w:ilvl w:val="0"/>
          <w:numId w:val="7"/>
        </w:numPr>
        <w:tabs>
          <w:tab w:val="left" w:pos="567"/>
          <w:tab w:val="left" w:pos="851"/>
        </w:tabs>
        <w:suppressAutoHyphens w:val="0"/>
        <w:ind w:left="0" w:firstLine="709"/>
        <w:rPr>
          <w:rFonts w:cs="Times New Roman"/>
          <w:b/>
        </w:rPr>
      </w:pPr>
      <w:r w:rsidRPr="00C44860">
        <w:rPr>
          <w:rFonts w:cs="Times New Roman"/>
          <w:b/>
        </w:rPr>
        <w:t xml:space="preserve">Начисление платы за жилищно-коммунальные услуги (1 453 обращений, что составляет 17,45%) и включает следующие проблемы: </w:t>
      </w:r>
    </w:p>
    <w:p w:rsidR="00A20D7F" w:rsidRPr="00C44860" w:rsidRDefault="00A20D7F" w:rsidP="000803B6">
      <w:pPr>
        <w:pStyle w:val="a4"/>
        <w:widowControl/>
        <w:numPr>
          <w:ilvl w:val="0"/>
          <w:numId w:val="11"/>
        </w:numPr>
        <w:tabs>
          <w:tab w:val="left" w:pos="567"/>
          <w:tab w:val="left" w:pos="993"/>
        </w:tabs>
        <w:suppressAutoHyphens w:val="0"/>
        <w:ind w:left="0" w:firstLine="709"/>
        <w:rPr>
          <w:rFonts w:cs="Times New Roman"/>
        </w:rPr>
      </w:pPr>
      <w:r w:rsidRPr="00C44860">
        <w:rPr>
          <w:rFonts w:cs="Times New Roman"/>
        </w:rPr>
        <w:t>соблюдение порядка начисления платы за жилищно-коммунальные услуги;</w:t>
      </w:r>
    </w:p>
    <w:p w:rsidR="00A20D7F" w:rsidRPr="00C44860" w:rsidRDefault="00A20D7F" w:rsidP="000803B6">
      <w:pPr>
        <w:pStyle w:val="a4"/>
        <w:widowControl/>
        <w:numPr>
          <w:ilvl w:val="0"/>
          <w:numId w:val="11"/>
        </w:numPr>
        <w:tabs>
          <w:tab w:val="left" w:pos="567"/>
          <w:tab w:val="left" w:pos="993"/>
        </w:tabs>
        <w:suppressAutoHyphens w:val="0"/>
        <w:ind w:left="0" w:firstLine="709"/>
        <w:rPr>
          <w:rFonts w:cs="Times New Roman"/>
        </w:rPr>
      </w:pPr>
      <w:r w:rsidRPr="00C44860">
        <w:rPr>
          <w:rFonts w:cs="Times New Roman"/>
        </w:rPr>
        <w:t>перерасчеты;</w:t>
      </w:r>
    </w:p>
    <w:p w:rsidR="00A20D7F" w:rsidRPr="00C44860" w:rsidRDefault="00A20D7F" w:rsidP="000803B6">
      <w:pPr>
        <w:pStyle w:val="a4"/>
        <w:widowControl/>
        <w:numPr>
          <w:ilvl w:val="0"/>
          <w:numId w:val="11"/>
        </w:numPr>
        <w:tabs>
          <w:tab w:val="left" w:pos="567"/>
          <w:tab w:val="left" w:pos="993"/>
        </w:tabs>
        <w:suppressAutoHyphens w:val="0"/>
        <w:ind w:left="0" w:firstLine="709"/>
        <w:rPr>
          <w:rFonts w:cs="Times New Roman"/>
        </w:rPr>
      </w:pPr>
      <w:r w:rsidRPr="00C44860">
        <w:rPr>
          <w:rFonts w:cs="Times New Roman"/>
        </w:rPr>
        <w:t>формирование и доставка платежных документов;</w:t>
      </w:r>
    </w:p>
    <w:p w:rsidR="00A20D7F" w:rsidRPr="00C44860" w:rsidRDefault="00A20D7F" w:rsidP="000803B6">
      <w:pPr>
        <w:pStyle w:val="a4"/>
        <w:widowControl/>
        <w:numPr>
          <w:ilvl w:val="0"/>
          <w:numId w:val="11"/>
        </w:numPr>
        <w:tabs>
          <w:tab w:val="left" w:pos="567"/>
          <w:tab w:val="left" w:pos="993"/>
        </w:tabs>
        <w:suppressAutoHyphens w:val="0"/>
        <w:ind w:left="0" w:firstLine="709"/>
        <w:rPr>
          <w:rFonts w:cs="Times New Roman"/>
        </w:rPr>
      </w:pPr>
      <w:r w:rsidRPr="00C44860">
        <w:rPr>
          <w:rFonts w:cs="Times New Roman"/>
        </w:rPr>
        <w:t>дополнительные платежи, комиссии;</w:t>
      </w:r>
    </w:p>
    <w:p w:rsidR="00A20D7F" w:rsidRPr="00C44860" w:rsidRDefault="00A20D7F" w:rsidP="000803B6">
      <w:pPr>
        <w:pStyle w:val="a4"/>
        <w:widowControl/>
        <w:numPr>
          <w:ilvl w:val="0"/>
          <w:numId w:val="11"/>
        </w:numPr>
        <w:tabs>
          <w:tab w:val="left" w:pos="567"/>
          <w:tab w:val="left" w:pos="993"/>
        </w:tabs>
        <w:suppressAutoHyphens w:val="0"/>
        <w:ind w:left="0" w:firstLine="709"/>
        <w:rPr>
          <w:rFonts w:cs="Times New Roman"/>
        </w:rPr>
      </w:pPr>
      <w:r w:rsidRPr="00C44860">
        <w:rPr>
          <w:rFonts w:cs="Times New Roman"/>
        </w:rPr>
        <w:t>установление и изменение размера платы за жилое помещение</w:t>
      </w:r>
    </w:p>
    <w:p w:rsidR="00A20D7F" w:rsidRPr="00C44860" w:rsidRDefault="00A20D7F" w:rsidP="000803B6">
      <w:pPr>
        <w:pStyle w:val="a4"/>
        <w:widowControl/>
        <w:numPr>
          <w:ilvl w:val="0"/>
          <w:numId w:val="11"/>
        </w:numPr>
        <w:tabs>
          <w:tab w:val="left" w:pos="567"/>
          <w:tab w:val="left" w:pos="993"/>
        </w:tabs>
        <w:suppressAutoHyphens w:val="0"/>
        <w:ind w:left="0" w:firstLine="709"/>
        <w:rPr>
          <w:rFonts w:cs="Times New Roman"/>
          <w:i/>
        </w:rPr>
      </w:pPr>
      <w:r w:rsidRPr="00C44860">
        <w:rPr>
          <w:rFonts w:cs="Times New Roman"/>
          <w:i/>
        </w:rPr>
        <w:t xml:space="preserve"> начисление платы за к</w:t>
      </w:r>
      <w:r w:rsidRPr="00C44860">
        <w:rPr>
          <w:rFonts w:cs="Times New Roman"/>
          <w:i/>
          <w:color w:val="000000"/>
          <w:shd w:val="clear" w:color="auto" w:fill="FFFFFF"/>
        </w:rPr>
        <w:t xml:space="preserve">оммунальные ресурсы, потребляемые при использовании и содержании общего имущества в многоквартирном доме </w:t>
      </w:r>
      <w:r w:rsidRPr="00C44860">
        <w:rPr>
          <w:rFonts w:cs="Times New Roman"/>
          <w:i/>
        </w:rPr>
        <w:t>–  203 обращения, что составляет  2,44 % от общего количества.</w:t>
      </w:r>
    </w:p>
    <w:p w:rsidR="00A20D7F" w:rsidRPr="00C44860" w:rsidRDefault="00A20D7F" w:rsidP="000803B6">
      <w:pPr>
        <w:pStyle w:val="a4"/>
        <w:widowControl/>
        <w:numPr>
          <w:ilvl w:val="0"/>
          <w:numId w:val="7"/>
        </w:numPr>
        <w:tabs>
          <w:tab w:val="left" w:pos="567"/>
          <w:tab w:val="left" w:pos="851"/>
        </w:tabs>
        <w:suppressAutoHyphens w:val="0"/>
        <w:ind w:left="0" w:firstLine="709"/>
        <w:rPr>
          <w:rFonts w:cs="Times New Roman"/>
          <w:b/>
        </w:rPr>
      </w:pPr>
      <w:r w:rsidRPr="00C44860">
        <w:rPr>
          <w:rFonts w:cs="Times New Roman"/>
          <w:b/>
        </w:rPr>
        <w:t>Неудовлетворительное состояние, содержание и текущий ремонт МКД (1 163 обращения, что составляет 13,97%)  включает следующие проблемы:</w:t>
      </w:r>
    </w:p>
    <w:p w:rsidR="00A20D7F" w:rsidRPr="00C44860" w:rsidRDefault="00A20D7F" w:rsidP="000803B6">
      <w:pPr>
        <w:pStyle w:val="a4"/>
        <w:widowControl/>
        <w:numPr>
          <w:ilvl w:val="0"/>
          <w:numId w:val="7"/>
        </w:numPr>
        <w:tabs>
          <w:tab w:val="left" w:pos="567"/>
          <w:tab w:val="left" w:pos="851"/>
        </w:tabs>
        <w:suppressAutoHyphens w:val="0"/>
        <w:ind w:left="0" w:firstLine="709"/>
        <w:rPr>
          <w:rFonts w:cs="Times New Roman"/>
          <w:b/>
        </w:rPr>
      </w:pPr>
      <w:r w:rsidRPr="00C44860">
        <w:rPr>
          <w:rFonts w:cs="Times New Roman"/>
          <w:b/>
        </w:rPr>
        <w:t>Неудовлетворительное благоустройство придомовой территории (1035 обращений, что составляет 12,43 %), в том числе:</w:t>
      </w:r>
    </w:p>
    <w:p w:rsidR="00A20D7F" w:rsidRPr="00C44860" w:rsidRDefault="00A20D7F" w:rsidP="000803B6">
      <w:pPr>
        <w:pStyle w:val="a4"/>
        <w:widowControl/>
        <w:numPr>
          <w:ilvl w:val="0"/>
          <w:numId w:val="15"/>
        </w:numPr>
        <w:suppressAutoHyphens w:val="0"/>
        <w:ind w:left="0" w:firstLine="709"/>
        <w:rPr>
          <w:rFonts w:cs="Times New Roman"/>
        </w:rPr>
      </w:pPr>
      <w:r w:rsidRPr="00C44860">
        <w:rPr>
          <w:rFonts w:cs="Times New Roman"/>
        </w:rPr>
        <w:t xml:space="preserve">реализация на территории Российской Федерации приоритетного проекта «Формирование комфортной городской среды» - </w:t>
      </w:r>
      <w:r w:rsidRPr="00C44860">
        <w:rPr>
          <w:rFonts w:cs="Times New Roman"/>
          <w:i/>
        </w:rPr>
        <w:t>66 обращений, что составляет 0,79 %  от общего количества обращений</w:t>
      </w:r>
      <w:r w:rsidRPr="00C44860">
        <w:rPr>
          <w:rFonts w:cs="Times New Roman"/>
        </w:rPr>
        <w:t>.</w:t>
      </w:r>
    </w:p>
    <w:p w:rsidR="00A20D7F" w:rsidRPr="00C44860" w:rsidRDefault="00A20D7F" w:rsidP="000803B6">
      <w:pPr>
        <w:pStyle w:val="a4"/>
        <w:widowControl/>
        <w:numPr>
          <w:ilvl w:val="0"/>
          <w:numId w:val="7"/>
        </w:numPr>
        <w:tabs>
          <w:tab w:val="left" w:pos="567"/>
          <w:tab w:val="left" w:pos="851"/>
        </w:tabs>
        <w:suppressAutoHyphens w:val="0"/>
        <w:ind w:left="0" w:firstLine="709"/>
        <w:rPr>
          <w:rFonts w:cs="Times New Roman"/>
          <w:b/>
        </w:rPr>
      </w:pPr>
      <w:r w:rsidRPr="00C44860">
        <w:rPr>
          <w:rFonts w:cs="Times New Roman"/>
          <w:b/>
        </w:rPr>
        <w:t>Проблемы, возникающие в связи с введение новой коммунальной услуги по обращению с твердыми коммунальными отходами (971 обращение, что составляет 11,66%) включает следующее:</w:t>
      </w:r>
    </w:p>
    <w:p w:rsidR="00A20D7F" w:rsidRPr="00C44860" w:rsidRDefault="00A20D7F" w:rsidP="000803B6">
      <w:pPr>
        <w:pStyle w:val="a4"/>
        <w:widowControl/>
        <w:numPr>
          <w:ilvl w:val="1"/>
          <w:numId w:val="7"/>
        </w:numPr>
        <w:tabs>
          <w:tab w:val="left" w:pos="567"/>
        </w:tabs>
        <w:suppressAutoHyphens w:val="0"/>
        <w:ind w:left="0" w:firstLine="709"/>
        <w:rPr>
          <w:rFonts w:cs="Times New Roman"/>
        </w:rPr>
      </w:pPr>
      <w:r w:rsidRPr="00C44860">
        <w:rPr>
          <w:rFonts w:cs="Times New Roman"/>
        </w:rPr>
        <w:t>исключение платы за ТБО из состава платы за содержание жилья;</w:t>
      </w:r>
    </w:p>
    <w:p w:rsidR="00A20D7F" w:rsidRPr="00C44860" w:rsidRDefault="00A20D7F" w:rsidP="000803B6">
      <w:pPr>
        <w:pStyle w:val="a4"/>
        <w:widowControl/>
        <w:numPr>
          <w:ilvl w:val="1"/>
          <w:numId w:val="7"/>
        </w:numPr>
        <w:tabs>
          <w:tab w:val="left" w:pos="567"/>
        </w:tabs>
        <w:suppressAutoHyphens w:val="0"/>
        <w:ind w:left="0" w:firstLine="709"/>
        <w:rPr>
          <w:rFonts w:cs="Times New Roman"/>
        </w:rPr>
      </w:pPr>
      <w:r w:rsidRPr="00C44860">
        <w:rPr>
          <w:rFonts w:cs="Times New Roman"/>
        </w:rPr>
        <w:t>начисление платы за ТКО, выставление платежных документов;</w:t>
      </w:r>
    </w:p>
    <w:p w:rsidR="00A20D7F" w:rsidRPr="00C44860" w:rsidRDefault="00A20D7F" w:rsidP="000803B6">
      <w:pPr>
        <w:pStyle w:val="a4"/>
        <w:widowControl/>
        <w:numPr>
          <w:ilvl w:val="1"/>
          <w:numId w:val="7"/>
        </w:numPr>
        <w:tabs>
          <w:tab w:val="left" w:pos="567"/>
        </w:tabs>
        <w:suppressAutoHyphens w:val="0"/>
        <w:ind w:left="0" w:firstLine="709"/>
        <w:rPr>
          <w:rFonts w:cs="Times New Roman"/>
        </w:rPr>
      </w:pPr>
      <w:r w:rsidRPr="00C44860">
        <w:rPr>
          <w:rFonts w:cs="Times New Roman"/>
        </w:rPr>
        <w:t>заключение договоров н</w:t>
      </w:r>
      <w:r w:rsidRPr="00C44860">
        <w:rPr>
          <w:rFonts w:cs="Times New Roman"/>
          <w:color w:val="333333"/>
          <w:shd w:val="clear" w:color="auto" w:fill="FFFFFF"/>
        </w:rPr>
        <w:t>а оказание услуг по обращению с твердыми коммунальными отходами между собственниками и региональным оператором, между управляющими организациями и региональным оператором;</w:t>
      </w:r>
    </w:p>
    <w:p w:rsidR="00A20D7F" w:rsidRPr="00C44860" w:rsidRDefault="00A20D7F" w:rsidP="000803B6">
      <w:pPr>
        <w:pStyle w:val="a4"/>
        <w:widowControl/>
        <w:numPr>
          <w:ilvl w:val="1"/>
          <w:numId w:val="7"/>
        </w:numPr>
        <w:tabs>
          <w:tab w:val="left" w:pos="567"/>
        </w:tabs>
        <w:suppressAutoHyphens w:val="0"/>
        <w:ind w:left="0" w:firstLine="709"/>
        <w:rPr>
          <w:rFonts w:cs="Times New Roman"/>
        </w:rPr>
      </w:pPr>
      <w:r w:rsidRPr="00C44860">
        <w:rPr>
          <w:rFonts w:cs="Times New Roman"/>
        </w:rPr>
        <w:lastRenderedPageBreak/>
        <w:t>уборка и содержание контейнерных площадок, их количество, доступность, перенос, бестарный вывоз, раздельное накопление;</w:t>
      </w:r>
    </w:p>
    <w:p w:rsidR="00A20D7F" w:rsidRPr="00C44860" w:rsidRDefault="00A20D7F" w:rsidP="000803B6">
      <w:pPr>
        <w:pStyle w:val="a4"/>
        <w:widowControl/>
        <w:numPr>
          <w:ilvl w:val="1"/>
          <w:numId w:val="7"/>
        </w:numPr>
        <w:tabs>
          <w:tab w:val="left" w:pos="567"/>
        </w:tabs>
        <w:suppressAutoHyphens w:val="0"/>
        <w:ind w:left="0" w:firstLine="709"/>
        <w:rPr>
          <w:rFonts w:cs="Times New Roman"/>
        </w:rPr>
      </w:pPr>
      <w:r w:rsidRPr="00C44860">
        <w:rPr>
          <w:rFonts w:cs="Times New Roman"/>
        </w:rPr>
        <w:t>норматив потребления услуги;</w:t>
      </w:r>
    </w:p>
    <w:p w:rsidR="00A20D7F" w:rsidRPr="00C44860" w:rsidRDefault="00A20D7F" w:rsidP="000803B6">
      <w:pPr>
        <w:pStyle w:val="a4"/>
        <w:widowControl/>
        <w:numPr>
          <w:ilvl w:val="1"/>
          <w:numId w:val="7"/>
        </w:numPr>
        <w:tabs>
          <w:tab w:val="left" w:pos="567"/>
        </w:tabs>
        <w:suppressAutoHyphens w:val="0"/>
        <w:ind w:left="0" w:firstLine="709"/>
        <w:rPr>
          <w:rFonts w:cs="Times New Roman"/>
        </w:rPr>
      </w:pPr>
      <w:r w:rsidRPr="00C44860">
        <w:rPr>
          <w:rFonts w:cs="Times New Roman"/>
        </w:rPr>
        <w:t>соблюдение периодичности предоставления услуги;</w:t>
      </w:r>
    </w:p>
    <w:p w:rsidR="00A20D7F" w:rsidRPr="00C44860" w:rsidRDefault="00A20D7F" w:rsidP="000803B6">
      <w:pPr>
        <w:pStyle w:val="a4"/>
        <w:widowControl/>
        <w:numPr>
          <w:ilvl w:val="1"/>
          <w:numId w:val="7"/>
        </w:numPr>
        <w:tabs>
          <w:tab w:val="left" w:pos="567"/>
        </w:tabs>
        <w:suppressAutoHyphens w:val="0"/>
        <w:ind w:left="0" w:firstLine="709"/>
        <w:rPr>
          <w:rFonts w:cs="Times New Roman"/>
        </w:rPr>
      </w:pPr>
      <w:r w:rsidRPr="00C44860">
        <w:rPr>
          <w:rFonts w:cs="Times New Roman"/>
        </w:rPr>
        <w:t>прочие вопросы.</w:t>
      </w:r>
    </w:p>
    <w:p w:rsidR="00A20D7F" w:rsidRPr="00C44860" w:rsidRDefault="00A20D7F" w:rsidP="000803B6">
      <w:pPr>
        <w:pStyle w:val="a4"/>
        <w:widowControl/>
        <w:numPr>
          <w:ilvl w:val="0"/>
          <w:numId w:val="7"/>
        </w:numPr>
        <w:tabs>
          <w:tab w:val="left" w:pos="567"/>
          <w:tab w:val="left" w:pos="851"/>
        </w:tabs>
        <w:suppressAutoHyphens w:val="0"/>
        <w:ind w:left="0" w:firstLine="709"/>
        <w:rPr>
          <w:rFonts w:cs="Times New Roman"/>
          <w:b/>
        </w:rPr>
      </w:pPr>
      <w:r w:rsidRPr="00C44860">
        <w:rPr>
          <w:rFonts w:cs="Times New Roman"/>
          <w:b/>
        </w:rPr>
        <w:t>Управление МКД (823 обращения, что составляет 9,89%) включает следующие проблемы:</w:t>
      </w:r>
    </w:p>
    <w:p w:rsidR="00A20D7F" w:rsidRPr="00C44860" w:rsidRDefault="00A20D7F" w:rsidP="000803B6">
      <w:pPr>
        <w:pStyle w:val="a4"/>
        <w:widowControl/>
        <w:numPr>
          <w:ilvl w:val="0"/>
          <w:numId w:val="12"/>
        </w:numPr>
        <w:tabs>
          <w:tab w:val="left" w:pos="567"/>
          <w:tab w:val="left" w:pos="993"/>
        </w:tabs>
        <w:suppressAutoHyphens w:val="0"/>
        <w:ind w:left="0" w:firstLine="709"/>
        <w:rPr>
          <w:rFonts w:cs="Times New Roman"/>
        </w:rPr>
      </w:pPr>
      <w:r w:rsidRPr="00C44860">
        <w:rPr>
          <w:rFonts w:cs="Times New Roman"/>
        </w:rPr>
        <w:t>споры хозяйствующих субъектов о праве управления МКД (проблема двойных платежных документов);</w:t>
      </w:r>
    </w:p>
    <w:p w:rsidR="00A20D7F" w:rsidRPr="00C44860" w:rsidRDefault="00A20D7F" w:rsidP="000803B6">
      <w:pPr>
        <w:pStyle w:val="a4"/>
        <w:widowControl/>
        <w:numPr>
          <w:ilvl w:val="0"/>
          <w:numId w:val="12"/>
        </w:numPr>
        <w:tabs>
          <w:tab w:val="left" w:pos="567"/>
          <w:tab w:val="left" w:pos="993"/>
        </w:tabs>
        <w:suppressAutoHyphens w:val="0"/>
        <w:ind w:left="0" w:firstLine="709"/>
        <w:rPr>
          <w:rFonts w:cs="Times New Roman"/>
        </w:rPr>
      </w:pPr>
      <w:r w:rsidRPr="00C44860">
        <w:rPr>
          <w:rFonts w:cs="Times New Roman"/>
        </w:rPr>
        <w:t>законность действий ТСЖ, ЖСК, управляющих организаций (в том числе вопросы, касающиеся финансово-хозяйственной деятельности);</w:t>
      </w:r>
    </w:p>
    <w:p w:rsidR="00A20D7F" w:rsidRPr="00C44860" w:rsidRDefault="00A20D7F" w:rsidP="000803B6">
      <w:pPr>
        <w:pStyle w:val="a4"/>
        <w:widowControl/>
        <w:numPr>
          <w:ilvl w:val="0"/>
          <w:numId w:val="12"/>
        </w:numPr>
        <w:tabs>
          <w:tab w:val="left" w:pos="567"/>
          <w:tab w:val="left" w:pos="993"/>
        </w:tabs>
        <w:suppressAutoHyphens w:val="0"/>
        <w:ind w:left="0" w:firstLine="709"/>
        <w:rPr>
          <w:rFonts w:cs="Times New Roman"/>
        </w:rPr>
      </w:pPr>
      <w:r w:rsidRPr="00C44860">
        <w:rPr>
          <w:rFonts w:cs="Times New Roman"/>
        </w:rPr>
        <w:t>раскрытие информации управляющими организациями;</w:t>
      </w:r>
    </w:p>
    <w:p w:rsidR="00A20D7F" w:rsidRPr="00C44860" w:rsidRDefault="00A20D7F" w:rsidP="000803B6">
      <w:pPr>
        <w:pStyle w:val="a4"/>
        <w:widowControl/>
        <w:numPr>
          <w:ilvl w:val="0"/>
          <w:numId w:val="12"/>
        </w:numPr>
        <w:tabs>
          <w:tab w:val="left" w:pos="567"/>
          <w:tab w:val="left" w:pos="993"/>
        </w:tabs>
        <w:suppressAutoHyphens w:val="0"/>
        <w:ind w:left="0" w:firstLine="709"/>
        <w:rPr>
          <w:rFonts w:cs="Times New Roman"/>
        </w:rPr>
      </w:pPr>
      <w:r w:rsidRPr="00C44860">
        <w:rPr>
          <w:rFonts w:cs="Times New Roman"/>
        </w:rPr>
        <w:t>лицензирование деятельности по управлению  многоквартирными домами;</w:t>
      </w:r>
    </w:p>
    <w:p w:rsidR="00A20D7F" w:rsidRPr="00C44860" w:rsidRDefault="00A20D7F" w:rsidP="000803B6">
      <w:pPr>
        <w:pStyle w:val="a4"/>
        <w:widowControl/>
        <w:numPr>
          <w:ilvl w:val="0"/>
          <w:numId w:val="12"/>
        </w:numPr>
        <w:tabs>
          <w:tab w:val="left" w:pos="567"/>
          <w:tab w:val="left" w:pos="993"/>
        </w:tabs>
        <w:suppressAutoHyphens w:val="0"/>
        <w:ind w:left="0" w:firstLine="709"/>
        <w:rPr>
          <w:rFonts w:cs="Times New Roman"/>
        </w:rPr>
      </w:pPr>
      <w:r w:rsidRPr="00C44860">
        <w:rPr>
          <w:rFonts w:cs="Times New Roman"/>
        </w:rPr>
        <w:t>договор управления;</w:t>
      </w:r>
    </w:p>
    <w:p w:rsidR="00A20D7F" w:rsidRPr="00C44860" w:rsidRDefault="00A20D7F" w:rsidP="000803B6">
      <w:pPr>
        <w:pStyle w:val="a4"/>
        <w:widowControl/>
        <w:numPr>
          <w:ilvl w:val="0"/>
          <w:numId w:val="12"/>
        </w:numPr>
        <w:tabs>
          <w:tab w:val="left" w:pos="567"/>
          <w:tab w:val="left" w:pos="993"/>
        </w:tabs>
        <w:suppressAutoHyphens w:val="0"/>
        <w:ind w:left="0" w:firstLine="709"/>
        <w:rPr>
          <w:rFonts w:cs="Times New Roman"/>
        </w:rPr>
      </w:pPr>
      <w:r w:rsidRPr="00C44860">
        <w:rPr>
          <w:rFonts w:cs="Times New Roman"/>
        </w:rPr>
        <w:t>предоставление и содержание отчетов об исполнении договоров управления, актов выполненных работ;</w:t>
      </w:r>
    </w:p>
    <w:p w:rsidR="00A20D7F" w:rsidRPr="00C44860" w:rsidRDefault="00A20D7F" w:rsidP="000803B6">
      <w:pPr>
        <w:pStyle w:val="a4"/>
        <w:widowControl/>
        <w:numPr>
          <w:ilvl w:val="0"/>
          <w:numId w:val="12"/>
        </w:numPr>
        <w:tabs>
          <w:tab w:val="left" w:pos="567"/>
          <w:tab w:val="left" w:pos="993"/>
        </w:tabs>
        <w:suppressAutoHyphens w:val="0"/>
        <w:ind w:left="0" w:firstLine="709"/>
        <w:rPr>
          <w:rFonts w:cs="Times New Roman"/>
          <w:i/>
        </w:rPr>
      </w:pPr>
      <w:r w:rsidRPr="00C44860">
        <w:rPr>
          <w:rFonts w:cs="Times New Roman"/>
          <w:i/>
        </w:rPr>
        <w:t>ГИС ЖКХ – 44 обращения, что составляет 0,53% от общего количества обращений;</w:t>
      </w:r>
    </w:p>
    <w:p w:rsidR="00A20D7F" w:rsidRPr="00C44860" w:rsidRDefault="00A20D7F" w:rsidP="000803B6">
      <w:pPr>
        <w:pStyle w:val="a4"/>
        <w:widowControl/>
        <w:numPr>
          <w:ilvl w:val="1"/>
          <w:numId w:val="7"/>
        </w:numPr>
        <w:tabs>
          <w:tab w:val="left" w:pos="567"/>
          <w:tab w:val="left" w:pos="993"/>
        </w:tabs>
        <w:suppressAutoHyphens w:val="0"/>
        <w:ind w:left="0" w:firstLine="709"/>
        <w:rPr>
          <w:rFonts w:cs="Times New Roman"/>
          <w:b/>
        </w:rPr>
      </w:pPr>
      <w:r w:rsidRPr="00C44860">
        <w:rPr>
          <w:rFonts w:cs="Times New Roman"/>
        </w:rPr>
        <w:t>создание и деятельность советов МКД, выплата вознаграждения членам совета.</w:t>
      </w:r>
      <w:r w:rsidRPr="00C44860">
        <w:rPr>
          <w:rFonts w:cs="Times New Roman"/>
          <w:b/>
        </w:rPr>
        <w:t xml:space="preserve"> </w:t>
      </w:r>
    </w:p>
    <w:p w:rsidR="00A20D7F" w:rsidRPr="00C44860" w:rsidRDefault="00A20D7F" w:rsidP="000803B6">
      <w:pPr>
        <w:pStyle w:val="a4"/>
        <w:widowControl/>
        <w:numPr>
          <w:ilvl w:val="0"/>
          <w:numId w:val="7"/>
        </w:numPr>
        <w:tabs>
          <w:tab w:val="left" w:pos="567"/>
          <w:tab w:val="left" w:pos="851"/>
        </w:tabs>
        <w:suppressAutoHyphens w:val="0"/>
        <w:ind w:left="0" w:firstLine="709"/>
        <w:rPr>
          <w:rFonts w:cs="Times New Roman"/>
          <w:b/>
        </w:rPr>
      </w:pPr>
      <w:r w:rsidRPr="00C44860">
        <w:rPr>
          <w:rFonts w:cs="Times New Roman"/>
          <w:b/>
        </w:rPr>
        <w:t>Капитальный ремонт (607 обращений, что составляет 7,29%)  и включает следующие проблемы:</w:t>
      </w:r>
    </w:p>
    <w:p w:rsidR="00A20D7F" w:rsidRPr="00C44860" w:rsidRDefault="00A20D7F" w:rsidP="000803B6">
      <w:pPr>
        <w:pStyle w:val="a4"/>
        <w:widowControl/>
        <w:numPr>
          <w:ilvl w:val="0"/>
          <w:numId w:val="14"/>
        </w:numPr>
        <w:tabs>
          <w:tab w:val="left" w:pos="567"/>
          <w:tab w:val="left" w:pos="993"/>
        </w:tabs>
        <w:suppressAutoHyphens w:val="0"/>
        <w:ind w:left="0" w:firstLine="709"/>
        <w:rPr>
          <w:rFonts w:cs="Times New Roman"/>
        </w:rPr>
      </w:pPr>
      <w:r w:rsidRPr="00C44860">
        <w:rPr>
          <w:rFonts w:cs="Times New Roman"/>
        </w:rPr>
        <w:t xml:space="preserve">сроки проведения капитального ремонта (обоснованность сроков, установленных </w:t>
      </w:r>
      <w:proofErr w:type="spellStart"/>
      <w:r w:rsidRPr="00C44860">
        <w:rPr>
          <w:rFonts w:cs="Times New Roman"/>
        </w:rPr>
        <w:t>регпрограммами</w:t>
      </w:r>
      <w:proofErr w:type="spellEnd"/>
      <w:r w:rsidRPr="00C44860">
        <w:rPr>
          <w:rFonts w:cs="Times New Roman"/>
        </w:rPr>
        <w:t>, соблюдение сроков согласно договорам подряда);</w:t>
      </w:r>
    </w:p>
    <w:p w:rsidR="00A20D7F" w:rsidRPr="00C44860" w:rsidRDefault="00A20D7F" w:rsidP="000803B6">
      <w:pPr>
        <w:pStyle w:val="a4"/>
        <w:widowControl/>
        <w:numPr>
          <w:ilvl w:val="0"/>
          <w:numId w:val="14"/>
        </w:numPr>
        <w:tabs>
          <w:tab w:val="left" w:pos="567"/>
          <w:tab w:val="left" w:pos="993"/>
        </w:tabs>
        <w:suppressAutoHyphens w:val="0"/>
        <w:ind w:left="0" w:firstLine="709"/>
        <w:rPr>
          <w:rFonts w:cs="Times New Roman"/>
        </w:rPr>
      </w:pPr>
      <w:r w:rsidRPr="00C44860">
        <w:rPr>
          <w:rFonts w:cs="Times New Roman"/>
        </w:rPr>
        <w:t>размер взноса на проведение капитального ремонта;</w:t>
      </w:r>
    </w:p>
    <w:p w:rsidR="00A20D7F" w:rsidRPr="00C44860" w:rsidRDefault="00A20D7F" w:rsidP="000803B6">
      <w:pPr>
        <w:pStyle w:val="a4"/>
        <w:widowControl/>
        <w:numPr>
          <w:ilvl w:val="0"/>
          <w:numId w:val="14"/>
        </w:numPr>
        <w:tabs>
          <w:tab w:val="left" w:pos="567"/>
          <w:tab w:val="left" w:pos="993"/>
        </w:tabs>
        <w:suppressAutoHyphens w:val="0"/>
        <w:ind w:left="0" w:firstLine="709"/>
        <w:rPr>
          <w:rFonts w:cs="Times New Roman"/>
          <w:b/>
        </w:rPr>
      </w:pPr>
      <w:r w:rsidRPr="00C44860">
        <w:rPr>
          <w:rFonts w:cs="Times New Roman"/>
        </w:rPr>
        <w:t>отсутствие информации о региональных программах проведения капитального        ремонта, их актуализации;</w:t>
      </w:r>
    </w:p>
    <w:p w:rsidR="00A20D7F" w:rsidRPr="00C44860" w:rsidRDefault="00A20D7F" w:rsidP="000803B6">
      <w:pPr>
        <w:pStyle w:val="a4"/>
        <w:widowControl/>
        <w:numPr>
          <w:ilvl w:val="0"/>
          <w:numId w:val="14"/>
        </w:numPr>
        <w:tabs>
          <w:tab w:val="left" w:pos="567"/>
          <w:tab w:val="left" w:pos="993"/>
        </w:tabs>
        <w:suppressAutoHyphens w:val="0"/>
        <w:ind w:left="0" w:firstLine="709"/>
        <w:rPr>
          <w:rFonts w:cs="Times New Roman"/>
          <w:b/>
        </w:rPr>
      </w:pPr>
      <w:r w:rsidRPr="00C44860">
        <w:rPr>
          <w:rFonts w:cs="Times New Roman"/>
        </w:rPr>
        <w:t>качество и соблюдение сроков выполнения работ в рамках проводимого капитального ремонта;</w:t>
      </w:r>
    </w:p>
    <w:p w:rsidR="00A20D7F" w:rsidRPr="00C44860" w:rsidRDefault="00A20D7F" w:rsidP="000803B6">
      <w:pPr>
        <w:pStyle w:val="a4"/>
        <w:widowControl/>
        <w:numPr>
          <w:ilvl w:val="0"/>
          <w:numId w:val="14"/>
        </w:numPr>
        <w:tabs>
          <w:tab w:val="left" w:pos="567"/>
          <w:tab w:val="left" w:pos="993"/>
        </w:tabs>
        <w:suppressAutoHyphens w:val="0"/>
        <w:ind w:left="0" w:firstLine="709"/>
        <w:rPr>
          <w:rFonts w:cs="Times New Roman"/>
          <w:b/>
        </w:rPr>
      </w:pPr>
      <w:r w:rsidRPr="00C44860">
        <w:rPr>
          <w:rFonts w:cs="Times New Roman"/>
        </w:rPr>
        <w:t>организация проведения капремонта (проведение общих собраний, утверждение документации и видов работ, доступность документов, приемка работ);</w:t>
      </w:r>
    </w:p>
    <w:p w:rsidR="00A20D7F" w:rsidRPr="00C44860" w:rsidRDefault="00A20D7F" w:rsidP="000803B6">
      <w:pPr>
        <w:pStyle w:val="a4"/>
        <w:widowControl/>
        <w:numPr>
          <w:ilvl w:val="0"/>
          <w:numId w:val="14"/>
        </w:numPr>
        <w:tabs>
          <w:tab w:val="left" w:pos="567"/>
          <w:tab w:val="left" w:pos="993"/>
        </w:tabs>
        <w:suppressAutoHyphens w:val="0"/>
        <w:ind w:left="0" w:firstLine="709"/>
        <w:rPr>
          <w:rFonts w:cs="Times New Roman"/>
          <w:b/>
        </w:rPr>
      </w:pPr>
      <w:r w:rsidRPr="00C44860">
        <w:rPr>
          <w:rFonts w:cs="Times New Roman"/>
        </w:rPr>
        <w:t>выполнение гарантийных обязательств;</w:t>
      </w:r>
    </w:p>
    <w:p w:rsidR="00A20D7F" w:rsidRPr="00C44860" w:rsidRDefault="00A20D7F" w:rsidP="000803B6">
      <w:pPr>
        <w:pStyle w:val="a4"/>
        <w:widowControl/>
        <w:numPr>
          <w:ilvl w:val="0"/>
          <w:numId w:val="14"/>
        </w:numPr>
        <w:tabs>
          <w:tab w:val="left" w:pos="567"/>
          <w:tab w:val="left" w:pos="993"/>
        </w:tabs>
        <w:suppressAutoHyphens w:val="0"/>
        <w:ind w:left="0" w:firstLine="709"/>
        <w:rPr>
          <w:rFonts w:cs="Times New Roman"/>
          <w:b/>
        </w:rPr>
      </w:pPr>
      <w:r w:rsidRPr="00C44860">
        <w:rPr>
          <w:rFonts w:cs="Times New Roman"/>
        </w:rPr>
        <w:t>прочее.</w:t>
      </w:r>
    </w:p>
    <w:p w:rsidR="00A20D7F" w:rsidRPr="00C44860" w:rsidRDefault="00A20D7F" w:rsidP="000803B6">
      <w:pPr>
        <w:pStyle w:val="a4"/>
        <w:widowControl/>
        <w:numPr>
          <w:ilvl w:val="0"/>
          <w:numId w:val="7"/>
        </w:numPr>
        <w:tabs>
          <w:tab w:val="left" w:pos="567"/>
          <w:tab w:val="left" w:pos="993"/>
        </w:tabs>
        <w:suppressAutoHyphens w:val="0"/>
        <w:ind w:left="0" w:firstLine="709"/>
        <w:rPr>
          <w:rFonts w:cs="Times New Roman"/>
          <w:b/>
        </w:rPr>
      </w:pPr>
      <w:r w:rsidRPr="00C44860">
        <w:rPr>
          <w:rFonts w:cs="Times New Roman"/>
          <w:b/>
        </w:rPr>
        <w:t>Неудовлетворительное качество предоставляемых коммунальных услуг (429 обращений, что составляет 5,15%) .</w:t>
      </w:r>
    </w:p>
    <w:p w:rsidR="00A20D7F" w:rsidRPr="00C44860" w:rsidRDefault="00A20D7F" w:rsidP="000803B6">
      <w:pPr>
        <w:pStyle w:val="a4"/>
        <w:widowControl/>
        <w:numPr>
          <w:ilvl w:val="0"/>
          <w:numId w:val="7"/>
        </w:numPr>
        <w:tabs>
          <w:tab w:val="left" w:pos="567"/>
          <w:tab w:val="left" w:pos="851"/>
        </w:tabs>
        <w:suppressAutoHyphens w:val="0"/>
        <w:ind w:left="0" w:firstLine="709"/>
        <w:rPr>
          <w:rFonts w:cs="Times New Roman"/>
          <w:b/>
        </w:rPr>
      </w:pPr>
      <w:r w:rsidRPr="00C44860">
        <w:rPr>
          <w:rFonts w:cs="Times New Roman"/>
          <w:b/>
        </w:rPr>
        <w:t>Общие собрания собственников помещений в многоквартирных домах (259 обращений, что составляет 3,11% от общего количества обращений) включает следующие проблемы:</w:t>
      </w:r>
    </w:p>
    <w:p w:rsidR="00A20D7F" w:rsidRPr="00C44860" w:rsidRDefault="00A20D7F" w:rsidP="000803B6">
      <w:pPr>
        <w:pStyle w:val="a4"/>
        <w:widowControl/>
        <w:numPr>
          <w:ilvl w:val="0"/>
          <w:numId w:val="16"/>
        </w:numPr>
        <w:tabs>
          <w:tab w:val="left" w:pos="567"/>
          <w:tab w:val="left" w:pos="993"/>
          <w:tab w:val="left" w:pos="1134"/>
        </w:tabs>
        <w:suppressAutoHyphens w:val="0"/>
        <w:ind w:left="0" w:firstLine="709"/>
        <w:rPr>
          <w:rFonts w:cs="Times New Roman"/>
        </w:rPr>
      </w:pPr>
      <w:r w:rsidRPr="00C44860">
        <w:rPr>
          <w:rFonts w:cs="Times New Roman"/>
        </w:rPr>
        <w:t xml:space="preserve">   подготовка, проведение общих собраний, подведение итогов голосования, уведомление о принятых решениях и их исполнение;</w:t>
      </w:r>
    </w:p>
    <w:p w:rsidR="00A20D7F" w:rsidRPr="00C44860" w:rsidRDefault="00A20D7F" w:rsidP="000803B6">
      <w:pPr>
        <w:pStyle w:val="a4"/>
        <w:widowControl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ind w:left="0" w:firstLine="709"/>
        <w:rPr>
          <w:rFonts w:cs="Times New Roman"/>
        </w:rPr>
      </w:pPr>
      <w:r w:rsidRPr="00C44860">
        <w:rPr>
          <w:rFonts w:cs="Times New Roman"/>
        </w:rPr>
        <w:t>- фальсификации документов;</w:t>
      </w:r>
    </w:p>
    <w:p w:rsidR="00A20D7F" w:rsidRPr="00C44860" w:rsidRDefault="00A20D7F" w:rsidP="000803B6">
      <w:pPr>
        <w:pStyle w:val="a4"/>
        <w:widowControl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ind w:left="0" w:firstLine="709"/>
        <w:rPr>
          <w:rFonts w:cs="Times New Roman"/>
        </w:rPr>
      </w:pPr>
      <w:r w:rsidRPr="00C44860">
        <w:rPr>
          <w:rFonts w:cs="Times New Roman"/>
        </w:rPr>
        <w:t>- доступность сведений о собственниках помещений;</w:t>
      </w:r>
    </w:p>
    <w:p w:rsidR="00A20D7F" w:rsidRPr="00C44860" w:rsidRDefault="00A20D7F" w:rsidP="000803B6">
      <w:pPr>
        <w:pStyle w:val="a4"/>
        <w:widowControl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ind w:left="0" w:firstLine="709"/>
        <w:rPr>
          <w:rFonts w:cs="Times New Roman"/>
          <w:b/>
        </w:rPr>
      </w:pPr>
      <w:r w:rsidRPr="00C44860">
        <w:rPr>
          <w:rFonts w:cs="Times New Roman"/>
        </w:rPr>
        <w:t>- другое;</w:t>
      </w:r>
    </w:p>
    <w:p w:rsidR="00A20D7F" w:rsidRPr="00C44860" w:rsidRDefault="00A20D7F" w:rsidP="000803B6">
      <w:pPr>
        <w:pStyle w:val="a4"/>
        <w:widowControl/>
        <w:numPr>
          <w:ilvl w:val="0"/>
          <w:numId w:val="7"/>
        </w:numPr>
        <w:tabs>
          <w:tab w:val="left" w:pos="567"/>
          <w:tab w:val="left" w:pos="851"/>
        </w:tabs>
        <w:suppressAutoHyphens w:val="0"/>
        <w:ind w:left="0" w:firstLine="709"/>
        <w:rPr>
          <w:rFonts w:cs="Times New Roman"/>
          <w:b/>
        </w:rPr>
      </w:pPr>
      <w:r w:rsidRPr="00C44860">
        <w:rPr>
          <w:rFonts w:cs="Times New Roman"/>
          <w:b/>
        </w:rPr>
        <w:t>Проблемы, связанные с индивидуальными и общедомовыми приборами учета (218 обращения, что составляет 2,62%), включают вопросы:</w:t>
      </w:r>
    </w:p>
    <w:p w:rsidR="00A20D7F" w:rsidRPr="00C44860" w:rsidRDefault="00A20D7F" w:rsidP="000803B6">
      <w:pPr>
        <w:pStyle w:val="a4"/>
        <w:widowControl/>
        <w:numPr>
          <w:ilvl w:val="0"/>
          <w:numId w:val="13"/>
        </w:numPr>
        <w:tabs>
          <w:tab w:val="left" w:pos="567"/>
          <w:tab w:val="left" w:pos="993"/>
        </w:tabs>
        <w:suppressAutoHyphens w:val="0"/>
        <w:ind w:left="0" w:firstLine="709"/>
        <w:rPr>
          <w:rFonts w:cs="Times New Roman"/>
        </w:rPr>
      </w:pPr>
      <w:r w:rsidRPr="00C44860">
        <w:rPr>
          <w:rFonts w:cs="Times New Roman"/>
        </w:rPr>
        <w:t>приобретение, установка, ввод в эксплуатацию, поверка, эксплуатация;</w:t>
      </w:r>
    </w:p>
    <w:p w:rsidR="00A20D7F" w:rsidRPr="00C44860" w:rsidRDefault="00A20D7F" w:rsidP="000803B6">
      <w:pPr>
        <w:pStyle w:val="a4"/>
        <w:widowControl/>
        <w:numPr>
          <w:ilvl w:val="0"/>
          <w:numId w:val="13"/>
        </w:numPr>
        <w:tabs>
          <w:tab w:val="left" w:pos="567"/>
          <w:tab w:val="left" w:pos="993"/>
        </w:tabs>
        <w:suppressAutoHyphens w:val="0"/>
        <w:ind w:left="0" w:firstLine="709"/>
        <w:rPr>
          <w:rFonts w:cs="Times New Roman"/>
        </w:rPr>
      </w:pPr>
      <w:r w:rsidRPr="00C44860">
        <w:rPr>
          <w:rFonts w:cs="Times New Roman"/>
        </w:rPr>
        <w:t>установление факта  наличия или отсутствия технической возможности установки;</w:t>
      </w:r>
    </w:p>
    <w:p w:rsidR="00A20D7F" w:rsidRPr="00C44860" w:rsidRDefault="00A20D7F" w:rsidP="000803B6">
      <w:pPr>
        <w:pStyle w:val="a4"/>
        <w:widowControl/>
        <w:numPr>
          <w:ilvl w:val="0"/>
          <w:numId w:val="13"/>
        </w:numPr>
        <w:tabs>
          <w:tab w:val="left" w:pos="567"/>
          <w:tab w:val="left" w:pos="993"/>
        </w:tabs>
        <w:suppressAutoHyphens w:val="0"/>
        <w:ind w:left="0" w:firstLine="709"/>
        <w:rPr>
          <w:rFonts w:cs="Times New Roman"/>
        </w:rPr>
      </w:pPr>
      <w:r w:rsidRPr="00C44860">
        <w:rPr>
          <w:rFonts w:cs="Times New Roman"/>
        </w:rPr>
        <w:t xml:space="preserve">стоимость оборудования, устанавливаемого </w:t>
      </w:r>
      <w:proofErr w:type="spellStart"/>
      <w:r w:rsidRPr="00C44860">
        <w:rPr>
          <w:rFonts w:cs="Times New Roman"/>
        </w:rPr>
        <w:t>ресурсоснабжающими</w:t>
      </w:r>
      <w:proofErr w:type="spellEnd"/>
      <w:r w:rsidRPr="00C44860">
        <w:rPr>
          <w:rFonts w:cs="Times New Roman"/>
        </w:rPr>
        <w:t xml:space="preserve"> организациями;</w:t>
      </w:r>
    </w:p>
    <w:p w:rsidR="00A20D7F" w:rsidRPr="00C44860" w:rsidRDefault="00A20D7F" w:rsidP="000803B6">
      <w:pPr>
        <w:pStyle w:val="a4"/>
        <w:widowControl/>
        <w:numPr>
          <w:ilvl w:val="0"/>
          <w:numId w:val="13"/>
        </w:numPr>
        <w:tabs>
          <w:tab w:val="left" w:pos="567"/>
          <w:tab w:val="left" w:pos="993"/>
        </w:tabs>
        <w:suppressAutoHyphens w:val="0"/>
        <w:ind w:left="0" w:firstLine="709"/>
        <w:rPr>
          <w:rFonts w:cs="Times New Roman"/>
        </w:rPr>
      </w:pPr>
      <w:r w:rsidRPr="00C44860">
        <w:rPr>
          <w:rFonts w:cs="Times New Roman"/>
        </w:rPr>
        <w:t>рассрочка платежа;</w:t>
      </w:r>
    </w:p>
    <w:p w:rsidR="00A20D7F" w:rsidRPr="00C44860" w:rsidRDefault="00A20D7F" w:rsidP="000803B6">
      <w:pPr>
        <w:pStyle w:val="a4"/>
        <w:widowControl/>
        <w:numPr>
          <w:ilvl w:val="0"/>
          <w:numId w:val="13"/>
        </w:numPr>
        <w:tabs>
          <w:tab w:val="left" w:pos="567"/>
          <w:tab w:val="left" w:pos="993"/>
        </w:tabs>
        <w:suppressAutoHyphens w:val="0"/>
        <w:ind w:left="0" w:firstLine="709"/>
        <w:rPr>
          <w:rFonts w:cs="Times New Roman"/>
        </w:rPr>
      </w:pPr>
      <w:r w:rsidRPr="00C44860">
        <w:rPr>
          <w:rFonts w:cs="Times New Roman"/>
        </w:rPr>
        <w:t>иное.</w:t>
      </w:r>
    </w:p>
    <w:p w:rsidR="00A20D7F" w:rsidRPr="00C44860" w:rsidRDefault="00A20D7F" w:rsidP="000803B6">
      <w:pPr>
        <w:pStyle w:val="a4"/>
        <w:widowControl/>
        <w:numPr>
          <w:ilvl w:val="0"/>
          <w:numId w:val="7"/>
        </w:numPr>
        <w:tabs>
          <w:tab w:val="left" w:pos="567"/>
          <w:tab w:val="left" w:pos="851"/>
        </w:tabs>
        <w:suppressAutoHyphens w:val="0"/>
        <w:ind w:left="0" w:firstLine="709"/>
        <w:rPr>
          <w:rFonts w:cs="Times New Roman"/>
          <w:b/>
        </w:rPr>
      </w:pPr>
      <w:r w:rsidRPr="00C44860">
        <w:rPr>
          <w:rFonts w:cs="Times New Roman"/>
          <w:b/>
        </w:rPr>
        <w:t>Иные темы (1 367 обращений, что составляет 16,</w:t>
      </w:r>
      <w:r w:rsidRPr="00C363FB">
        <w:rPr>
          <w:rFonts w:cs="Times New Roman"/>
          <w:b/>
        </w:rPr>
        <w:t>4</w:t>
      </w:r>
      <w:r w:rsidR="00C44329" w:rsidRPr="00C363FB">
        <w:rPr>
          <w:rFonts w:cs="Times New Roman"/>
          <w:b/>
        </w:rPr>
        <w:t>3</w:t>
      </w:r>
      <w:r w:rsidRPr="00C44860">
        <w:rPr>
          <w:rFonts w:cs="Times New Roman"/>
          <w:b/>
        </w:rPr>
        <w:t>%)   включают следующие проблемы:</w:t>
      </w:r>
    </w:p>
    <w:p w:rsidR="00A20D7F" w:rsidRPr="00C44860" w:rsidRDefault="000803B6" w:rsidP="000803B6">
      <w:pPr>
        <w:pStyle w:val="a4"/>
        <w:widowControl/>
        <w:numPr>
          <w:ilvl w:val="0"/>
          <w:numId w:val="13"/>
        </w:numPr>
        <w:tabs>
          <w:tab w:val="left" w:pos="567"/>
          <w:tab w:val="left" w:pos="993"/>
          <w:tab w:val="left" w:pos="1276"/>
        </w:tabs>
        <w:suppressAutoHyphens w:val="0"/>
        <w:ind w:left="0" w:firstLine="709"/>
        <w:rPr>
          <w:rFonts w:cs="Times New Roman"/>
        </w:rPr>
      </w:pPr>
      <w:r>
        <w:rPr>
          <w:rFonts w:cs="Times New Roman"/>
        </w:rPr>
        <w:t>социальный нае</w:t>
      </w:r>
      <w:r w:rsidR="00A20D7F" w:rsidRPr="00C44860">
        <w:rPr>
          <w:rFonts w:cs="Times New Roman"/>
        </w:rPr>
        <w:t>м;</w:t>
      </w:r>
    </w:p>
    <w:p w:rsidR="00A20D7F" w:rsidRPr="00C44860" w:rsidRDefault="00A20D7F" w:rsidP="000803B6">
      <w:pPr>
        <w:pStyle w:val="a4"/>
        <w:widowControl/>
        <w:numPr>
          <w:ilvl w:val="0"/>
          <w:numId w:val="13"/>
        </w:numPr>
        <w:tabs>
          <w:tab w:val="left" w:pos="567"/>
        </w:tabs>
        <w:suppressAutoHyphens w:val="0"/>
        <w:ind w:left="0" w:firstLine="709"/>
        <w:rPr>
          <w:rFonts w:cs="Times New Roman"/>
          <w:i/>
        </w:rPr>
      </w:pPr>
      <w:r w:rsidRPr="00C44860">
        <w:rPr>
          <w:rFonts w:cs="Times New Roman"/>
          <w:i/>
        </w:rPr>
        <w:t xml:space="preserve">жалобы на действия и бездействия уполномоченных органов государственной власти и органов местного самоуправления, влияющих на соблюдение прав и законных интересов граждан в </w:t>
      </w:r>
      <w:r w:rsidRPr="00C44860">
        <w:rPr>
          <w:rFonts w:cs="Times New Roman"/>
          <w:i/>
        </w:rPr>
        <w:lastRenderedPageBreak/>
        <w:t>сфере жилищно-коммунального хозяйства, в том числе коррупционная составляющая (86 обращение, что составляет 1,03 %);</w:t>
      </w:r>
    </w:p>
    <w:p w:rsidR="00A20D7F" w:rsidRPr="00C44860" w:rsidRDefault="00A20D7F" w:rsidP="000803B6">
      <w:pPr>
        <w:pStyle w:val="a4"/>
        <w:widowControl/>
        <w:numPr>
          <w:ilvl w:val="0"/>
          <w:numId w:val="13"/>
        </w:numPr>
        <w:tabs>
          <w:tab w:val="left" w:pos="567"/>
        </w:tabs>
        <w:suppressAutoHyphens w:val="0"/>
        <w:ind w:left="0" w:firstLine="709"/>
        <w:rPr>
          <w:rFonts w:eastAsia="Times New Roman" w:cs="Times New Roman"/>
          <w:b/>
          <w:bCs/>
          <w:color w:val="000000"/>
          <w:lang w:eastAsia="ru-RU"/>
        </w:rPr>
      </w:pPr>
      <w:r w:rsidRPr="00C44860">
        <w:rPr>
          <w:rFonts w:cs="Times New Roman"/>
        </w:rPr>
        <w:t>заключение договоров на обслуживание внутриквартирного газового оборудования;</w:t>
      </w:r>
    </w:p>
    <w:p w:rsidR="00A20D7F" w:rsidRPr="00C44860" w:rsidRDefault="00A20D7F" w:rsidP="000803B6">
      <w:pPr>
        <w:pStyle w:val="a4"/>
        <w:widowControl/>
        <w:numPr>
          <w:ilvl w:val="0"/>
          <w:numId w:val="13"/>
        </w:numPr>
        <w:tabs>
          <w:tab w:val="left" w:pos="567"/>
        </w:tabs>
        <w:suppressAutoHyphens w:val="0"/>
        <w:ind w:left="0" w:firstLine="709"/>
        <w:rPr>
          <w:rFonts w:eastAsia="Times New Roman" w:cs="Times New Roman"/>
          <w:b/>
          <w:bCs/>
          <w:color w:val="000000"/>
          <w:lang w:eastAsia="ru-RU"/>
        </w:rPr>
      </w:pPr>
      <w:r w:rsidRPr="00C44860">
        <w:rPr>
          <w:rFonts w:cs="Times New Roman"/>
        </w:rPr>
        <w:t>сохранность жилых помещений и соблюдение назначения их использования, перепланировка, переоборудование;</w:t>
      </w:r>
    </w:p>
    <w:p w:rsidR="00A20D7F" w:rsidRPr="00C44860" w:rsidRDefault="00A20D7F" w:rsidP="000803B6">
      <w:pPr>
        <w:pStyle w:val="a4"/>
        <w:widowControl/>
        <w:numPr>
          <w:ilvl w:val="0"/>
          <w:numId w:val="17"/>
        </w:numPr>
        <w:tabs>
          <w:tab w:val="left" w:pos="567"/>
          <w:tab w:val="left" w:pos="993"/>
          <w:tab w:val="left" w:pos="1276"/>
        </w:tabs>
        <w:suppressAutoHyphens w:val="0"/>
        <w:ind w:left="0" w:firstLine="709"/>
        <w:rPr>
          <w:rFonts w:eastAsia="Times New Roman" w:cs="Times New Roman"/>
          <w:b/>
          <w:bCs/>
          <w:i/>
          <w:color w:val="000000"/>
          <w:lang w:eastAsia="ru-RU"/>
        </w:rPr>
      </w:pPr>
      <w:r w:rsidRPr="00C44860">
        <w:rPr>
          <w:rFonts w:cs="Times New Roman"/>
          <w:i/>
        </w:rPr>
        <w:t xml:space="preserve">Общее имущество в многоквартирном доме (168 обращений, что составляет 2,02 % от общего количества обращений), в </w:t>
      </w:r>
      <w:proofErr w:type="spellStart"/>
      <w:r w:rsidRPr="00C44860">
        <w:rPr>
          <w:rFonts w:cs="Times New Roman"/>
          <w:i/>
        </w:rPr>
        <w:t>т.ч</w:t>
      </w:r>
      <w:proofErr w:type="gramStart"/>
      <w:r w:rsidRPr="00C44860">
        <w:rPr>
          <w:rFonts w:cs="Times New Roman"/>
          <w:i/>
        </w:rPr>
        <w:t>.о</w:t>
      </w:r>
      <w:proofErr w:type="gramEnd"/>
      <w:r w:rsidRPr="00C44860">
        <w:rPr>
          <w:rFonts w:cs="Times New Roman"/>
          <w:i/>
        </w:rPr>
        <w:t>пределение</w:t>
      </w:r>
      <w:proofErr w:type="spellEnd"/>
      <w:r w:rsidRPr="00C44860">
        <w:rPr>
          <w:rFonts w:cs="Times New Roman"/>
          <w:i/>
        </w:rPr>
        <w:t xml:space="preserve"> состава, законность отчуждения общего имущества, в том числе в муниципальную и государственную собственность, взаимодействие с органами власти в разрешении вопроса возврата имущества в общую собственность собственников помещений в многоквартирном доме, возврат;</w:t>
      </w:r>
    </w:p>
    <w:p w:rsidR="00A20D7F" w:rsidRPr="00C44860" w:rsidRDefault="00A20D7F" w:rsidP="000803B6">
      <w:pPr>
        <w:pStyle w:val="a4"/>
        <w:widowControl/>
        <w:numPr>
          <w:ilvl w:val="0"/>
          <w:numId w:val="17"/>
        </w:numPr>
        <w:tabs>
          <w:tab w:val="left" w:pos="567"/>
          <w:tab w:val="left" w:pos="993"/>
          <w:tab w:val="left" w:pos="1276"/>
        </w:tabs>
        <w:suppressAutoHyphens w:val="0"/>
        <w:ind w:left="0" w:firstLine="709"/>
        <w:rPr>
          <w:rFonts w:eastAsia="Times New Roman" w:cs="Times New Roman"/>
          <w:b/>
          <w:bCs/>
          <w:color w:val="000000"/>
          <w:lang w:eastAsia="ru-RU"/>
        </w:rPr>
      </w:pPr>
      <w:r w:rsidRPr="00C44860">
        <w:rPr>
          <w:rFonts w:cs="Times New Roman"/>
          <w:i/>
        </w:rPr>
        <w:t xml:space="preserve"> прямые договоры собственников  с </w:t>
      </w:r>
      <w:proofErr w:type="spellStart"/>
      <w:r w:rsidRPr="00C44860">
        <w:rPr>
          <w:rFonts w:cs="Times New Roman"/>
          <w:i/>
        </w:rPr>
        <w:t>ресурсоснабжающими</w:t>
      </w:r>
      <w:proofErr w:type="spellEnd"/>
      <w:r w:rsidRPr="00C44860">
        <w:rPr>
          <w:rFonts w:cs="Times New Roman"/>
          <w:i/>
        </w:rPr>
        <w:t xml:space="preserve"> организациями (47 обращения, что составляет 0,68 %); </w:t>
      </w:r>
    </w:p>
    <w:p w:rsidR="00A20D7F" w:rsidRPr="00C44860" w:rsidRDefault="00A20D7F" w:rsidP="000803B6">
      <w:pPr>
        <w:pStyle w:val="2"/>
        <w:numPr>
          <w:ilvl w:val="0"/>
          <w:numId w:val="13"/>
        </w:numPr>
        <w:spacing w:before="0" w:line="240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lang w:eastAsia="ru-RU"/>
        </w:rPr>
      </w:pPr>
      <w:r w:rsidRPr="00C4486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Аварийное жилье: признание аварийным, переселение граждан, снос (86 обращений, что составляет 1,03 % от общего количества обращений);</w:t>
      </w:r>
    </w:p>
    <w:p w:rsidR="00A20D7F" w:rsidRPr="00C44860" w:rsidRDefault="00A20D7F" w:rsidP="000803B6">
      <w:pPr>
        <w:pStyle w:val="2"/>
        <w:numPr>
          <w:ilvl w:val="0"/>
          <w:numId w:val="13"/>
        </w:numPr>
        <w:spacing w:before="0" w:line="240" w:lineRule="auto"/>
        <w:ind w:left="0" w:firstLine="709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C44860">
        <w:rPr>
          <w:rFonts w:ascii="Times New Roman" w:hAnsi="Times New Roman" w:cs="Times New Roman"/>
          <w:b w:val="0"/>
          <w:color w:val="auto"/>
          <w:sz w:val="24"/>
          <w:szCs w:val="24"/>
        </w:rPr>
        <w:t>споры между   физическими и юридическими лицами, прямо не связанные, но сопряженные со сферой оказания жилищно-коммунальных услуг;</w:t>
      </w:r>
    </w:p>
    <w:p w:rsidR="00A20D7F" w:rsidRPr="00C44860" w:rsidRDefault="00A20D7F" w:rsidP="000803B6">
      <w:pPr>
        <w:pStyle w:val="a4"/>
        <w:widowControl/>
        <w:numPr>
          <w:ilvl w:val="0"/>
          <w:numId w:val="13"/>
        </w:numPr>
        <w:tabs>
          <w:tab w:val="left" w:pos="567"/>
        </w:tabs>
        <w:suppressAutoHyphens w:val="0"/>
        <w:ind w:left="0" w:firstLine="709"/>
        <w:rPr>
          <w:rFonts w:eastAsia="Times New Roman" w:cs="Times New Roman"/>
          <w:color w:val="000000"/>
          <w:lang w:eastAsia="ru-RU"/>
        </w:rPr>
      </w:pPr>
      <w:r w:rsidRPr="00C44860">
        <w:rPr>
          <w:rFonts w:cs="Times New Roman"/>
        </w:rPr>
        <w:t>проч.</w:t>
      </w:r>
    </w:p>
    <w:p w:rsidR="005957EA" w:rsidRPr="00C44860" w:rsidRDefault="005957EA" w:rsidP="000803B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5957EA" w:rsidRPr="00C44860" w:rsidSect="00F86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FAA"/>
    <w:multiLevelType w:val="hybridMultilevel"/>
    <w:tmpl w:val="6C3CB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0A3D"/>
    <w:multiLevelType w:val="hybridMultilevel"/>
    <w:tmpl w:val="F46EA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C37AA0"/>
    <w:multiLevelType w:val="hybridMultilevel"/>
    <w:tmpl w:val="8584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B7267"/>
    <w:multiLevelType w:val="hybridMultilevel"/>
    <w:tmpl w:val="40A2FB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714543"/>
    <w:multiLevelType w:val="hybridMultilevel"/>
    <w:tmpl w:val="A5A666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107D9A"/>
    <w:multiLevelType w:val="hybridMultilevel"/>
    <w:tmpl w:val="A19ED8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">
    <w:nsid w:val="1E1B3355"/>
    <w:multiLevelType w:val="hybridMultilevel"/>
    <w:tmpl w:val="EBE8A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F23451"/>
    <w:multiLevelType w:val="hybridMultilevel"/>
    <w:tmpl w:val="652CC30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20C30E59"/>
    <w:multiLevelType w:val="hybridMultilevel"/>
    <w:tmpl w:val="307086E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2930503F"/>
    <w:multiLevelType w:val="hybridMultilevel"/>
    <w:tmpl w:val="9B5CC29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75150FA"/>
    <w:multiLevelType w:val="hybridMultilevel"/>
    <w:tmpl w:val="58CC19FA"/>
    <w:lvl w:ilvl="0" w:tplc="37E6E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BA5279"/>
    <w:multiLevelType w:val="hybridMultilevel"/>
    <w:tmpl w:val="CD22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F36D4"/>
    <w:multiLevelType w:val="hybridMultilevel"/>
    <w:tmpl w:val="9E4E9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4A1F37"/>
    <w:multiLevelType w:val="hybridMultilevel"/>
    <w:tmpl w:val="9014D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90686"/>
    <w:multiLevelType w:val="hybridMultilevel"/>
    <w:tmpl w:val="EC2267A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462F4871"/>
    <w:multiLevelType w:val="multilevel"/>
    <w:tmpl w:val="E384F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6">
    <w:nsid w:val="46B3158F"/>
    <w:multiLevelType w:val="hybridMultilevel"/>
    <w:tmpl w:val="4F4A6062"/>
    <w:lvl w:ilvl="0" w:tplc="E0AE3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632011"/>
    <w:multiLevelType w:val="hybridMultilevel"/>
    <w:tmpl w:val="4A06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36819"/>
    <w:multiLevelType w:val="hybridMultilevel"/>
    <w:tmpl w:val="6C3CB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61938"/>
    <w:multiLevelType w:val="hybridMultilevel"/>
    <w:tmpl w:val="C20C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D4507"/>
    <w:multiLevelType w:val="hybridMultilevel"/>
    <w:tmpl w:val="AC26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A3FBB"/>
    <w:multiLevelType w:val="hybridMultilevel"/>
    <w:tmpl w:val="61821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803DC0"/>
    <w:multiLevelType w:val="hybridMultilevel"/>
    <w:tmpl w:val="C60E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</w:num>
  <w:num w:numId="6">
    <w:abstractNumId w:val="13"/>
  </w:num>
  <w:num w:numId="7">
    <w:abstractNumId w:val="5"/>
  </w:num>
  <w:num w:numId="8">
    <w:abstractNumId w:val="2"/>
  </w:num>
  <w:num w:numId="9">
    <w:abstractNumId w:val="18"/>
  </w:num>
  <w:num w:numId="10">
    <w:abstractNumId w:val="0"/>
  </w:num>
  <w:num w:numId="11">
    <w:abstractNumId w:val="8"/>
  </w:num>
  <w:num w:numId="12">
    <w:abstractNumId w:val="14"/>
  </w:num>
  <w:num w:numId="13">
    <w:abstractNumId w:val="7"/>
  </w:num>
  <w:num w:numId="14">
    <w:abstractNumId w:val="9"/>
  </w:num>
  <w:num w:numId="15">
    <w:abstractNumId w:val="20"/>
  </w:num>
  <w:num w:numId="16">
    <w:abstractNumId w:val="1"/>
  </w:num>
  <w:num w:numId="17">
    <w:abstractNumId w:val="4"/>
  </w:num>
  <w:num w:numId="18">
    <w:abstractNumId w:val="12"/>
  </w:num>
  <w:num w:numId="19">
    <w:abstractNumId w:val="6"/>
  </w:num>
  <w:num w:numId="20">
    <w:abstractNumId w:val="21"/>
  </w:num>
  <w:num w:numId="21">
    <w:abstractNumId w:val="10"/>
  </w:num>
  <w:num w:numId="22">
    <w:abstractNumId w:val="19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1D"/>
    <w:rsid w:val="000507B1"/>
    <w:rsid w:val="00050ACA"/>
    <w:rsid w:val="0005609B"/>
    <w:rsid w:val="00057392"/>
    <w:rsid w:val="000768A0"/>
    <w:rsid w:val="000803B6"/>
    <w:rsid w:val="000A3308"/>
    <w:rsid w:val="000D174E"/>
    <w:rsid w:val="001030F5"/>
    <w:rsid w:val="001D37AB"/>
    <w:rsid w:val="001E0ABB"/>
    <w:rsid w:val="00211040"/>
    <w:rsid w:val="00217D2A"/>
    <w:rsid w:val="00223769"/>
    <w:rsid w:val="00226D7D"/>
    <w:rsid w:val="00245F16"/>
    <w:rsid w:val="002470C0"/>
    <w:rsid w:val="002D6E34"/>
    <w:rsid w:val="002F5ADC"/>
    <w:rsid w:val="0031082B"/>
    <w:rsid w:val="00322AA4"/>
    <w:rsid w:val="00325025"/>
    <w:rsid w:val="00337C83"/>
    <w:rsid w:val="00437685"/>
    <w:rsid w:val="004621ED"/>
    <w:rsid w:val="004B10B0"/>
    <w:rsid w:val="004C3AC7"/>
    <w:rsid w:val="004C7B51"/>
    <w:rsid w:val="004F3FBE"/>
    <w:rsid w:val="004F410A"/>
    <w:rsid w:val="004F587C"/>
    <w:rsid w:val="005454E4"/>
    <w:rsid w:val="00552D6B"/>
    <w:rsid w:val="00553026"/>
    <w:rsid w:val="00560A7A"/>
    <w:rsid w:val="00590944"/>
    <w:rsid w:val="005957EA"/>
    <w:rsid w:val="005D12E8"/>
    <w:rsid w:val="005D3BBF"/>
    <w:rsid w:val="005F620F"/>
    <w:rsid w:val="00650466"/>
    <w:rsid w:val="00670F53"/>
    <w:rsid w:val="00697EBB"/>
    <w:rsid w:val="006A3BFD"/>
    <w:rsid w:val="006C08DC"/>
    <w:rsid w:val="006D3AE2"/>
    <w:rsid w:val="006E5E7D"/>
    <w:rsid w:val="006F11D9"/>
    <w:rsid w:val="00751B54"/>
    <w:rsid w:val="00792ACF"/>
    <w:rsid w:val="007A54DD"/>
    <w:rsid w:val="007F22C8"/>
    <w:rsid w:val="008043F2"/>
    <w:rsid w:val="00805363"/>
    <w:rsid w:val="00815AF8"/>
    <w:rsid w:val="00871C2B"/>
    <w:rsid w:val="00880DA2"/>
    <w:rsid w:val="009531DC"/>
    <w:rsid w:val="009D39AA"/>
    <w:rsid w:val="00A05B93"/>
    <w:rsid w:val="00A20D7F"/>
    <w:rsid w:val="00A2567A"/>
    <w:rsid w:val="00A4468D"/>
    <w:rsid w:val="00A75629"/>
    <w:rsid w:val="00AD6D1D"/>
    <w:rsid w:val="00AF626E"/>
    <w:rsid w:val="00B1397D"/>
    <w:rsid w:val="00B27FCF"/>
    <w:rsid w:val="00B35276"/>
    <w:rsid w:val="00B53E9F"/>
    <w:rsid w:val="00B8296E"/>
    <w:rsid w:val="00C03A45"/>
    <w:rsid w:val="00C363FB"/>
    <w:rsid w:val="00C44329"/>
    <w:rsid w:val="00C44860"/>
    <w:rsid w:val="00CD5DDB"/>
    <w:rsid w:val="00CE390B"/>
    <w:rsid w:val="00CE72F8"/>
    <w:rsid w:val="00D62D11"/>
    <w:rsid w:val="00E3034E"/>
    <w:rsid w:val="00E40BC8"/>
    <w:rsid w:val="00E74D66"/>
    <w:rsid w:val="00E90BAD"/>
    <w:rsid w:val="00EB0BC9"/>
    <w:rsid w:val="00EB3E2E"/>
    <w:rsid w:val="00F16C2B"/>
    <w:rsid w:val="00F868C7"/>
    <w:rsid w:val="00F90FF5"/>
    <w:rsid w:val="00FD7652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0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 List Знак,FooterText Знак,numbered Знак,Paragraphe de liste1 Знак,lp1 Знак"/>
    <w:link w:val="a4"/>
    <w:uiPriority w:val="34"/>
    <w:locked/>
    <w:rsid w:val="000768A0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4">
    <w:name w:val="List Paragraph"/>
    <w:aliases w:val="Bullet List,FooterText,numbered,Paragraphe de liste1,lp1"/>
    <w:basedOn w:val="a"/>
    <w:link w:val="a3"/>
    <w:uiPriority w:val="34"/>
    <w:qFormat/>
    <w:rsid w:val="000768A0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F8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B1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0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3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3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0A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0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 List Знак,FooterText Знак,numbered Знак,Paragraphe de liste1 Знак,lp1 Знак"/>
    <w:link w:val="a4"/>
    <w:uiPriority w:val="34"/>
    <w:locked/>
    <w:rsid w:val="000768A0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4">
    <w:name w:val="List Paragraph"/>
    <w:aliases w:val="Bullet List,FooterText,numbered,Paragraphe de liste1,lp1"/>
    <w:basedOn w:val="a"/>
    <w:link w:val="a3"/>
    <w:uiPriority w:val="34"/>
    <w:qFormat/>
    <w:rsid w:val="000768A0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F8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B1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0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3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3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0A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5922-88E1-4B7F-B3A9-561C6FE4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AKozlov</cp:lastModifiedBy>
  <cp:revision>3</cp:revision>
  <dcterms:created xsi:type="dcterms:W3CDTF">2019-04-08T15:40:00Z</dcterms:created>
  <dcterms:modified xsi:type="dcterms:W3CDTF">2019-04-08T15:42:00Z</dcterms:modified>
</cp:coreProperties>
</file>