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07BBC" w14:textId="265F7F8F" w:rsidR="00534735" w:rsidRPr="00D26BAA" w:rsidRDefault="00534735" w:rsidP="007212F0">
      <w:pPr>
        <w:pStyle w:val="a3"/>
        <w:spacing w:before="0" w:after="0"/>
        <w:rPr>
          <w:snapToGrid w:val="0"/>
          <w:szCs w:val="28"/>
        </w:rPr>
      </w:pPr>
      <w:bookmarkStart w:id="0" w:name="_GoBack"/>
      <w:bookmarkEnd w:id="0"/>
      <w:r w:rsidRPr="00D26BAA">
        <w:rPr>
          <w:snapToGrid w:val="0"/>
          <w:szCs w:val="28"/>
        </w:rPr>
        <w:t>П</w:t>
      </w:r>
      <w:r w:rsidR="00D26BAA" w:rsidRPr="00D26BAA">
        <w:rPr>
          <w:snapToGrid w:val="0"/>
          <w:szCs w:val="28"/>
        </w:rPr>
        <w:t>ОЯСНИТЕЛЬНАЯ ЗАПИСКА</w:t>
      </w:r>
    </w:p>
    <w:p w14:paraId="661BAB24" w14:textId="77777777" w:rsidR="00D26BAA" w:rsidRPr="00D26BAA" w:rsidRDefault="00D26BAA" w:rsidP="00D26BAA">
      <w:pPr>
        <w:rPr>
          <w:sz w:val="10"/>
          <w:szCs w:val="10"/>
          <w:lang w:eastAsia="ru-RU"/>
        </w:rPr>
      </w:pPr>
    </w:p>
    <w:p w14:paraId="4DAAA9A1" w14:textId="398E28E8" w:rsidR="00534735" w:rsidRDefault="00534735" w:rsidP="00534735">
      <w:pPr>
        <w:pStyle w:val="a3"/>
        <w:spacing w:before="0" w:after="0"/>
        <w:rPr>
          <w:snapToGrid w:val="0"/>
        </w:rPr>
      </w:pPr>
      <w:r>
        <w:rPr>
          <w:snapToGrid w:val="0"/>
        </w:rPr>
        <w:t xml:space="preserve">к </w:t>
      </w:r>
      <w:r w:rsidRPr="009553D7">
        <w:rPr>
          <w:snapToGrid w:val="0"/>
        </w:rPr>
        <w:t>Стратеги</w:t>
      </w:r>
      <w:r>
        <w:rPr>
          <w:snapToGrid w:val="0"/>
        </w:rPr>
        <w:t>и</w:t>
      </w:r>
      <w:r w:rsidRPr="009553D7">
        <w:rPr>
          <w:snapToGrid w:val="0"/>
        </w:rPr>
        <w:t xml:space="preserve"> развития строительной отрасли </w:t>
      </w:r>
      <w:r>
        <w:rPr>
          <w:snapToGrid w:val="0"/>
        </w:rPr>
        <w:t xml:space="preserve">и жилищно-коммунального хозяйства </w:t>
      </w:r>
      <w:r w:rsidRPr="009553D7">
        <w:rPr>
          <w:snapToGrid w:val="0"/>
        </w:rPr>
        <w:t>Российской Федерации до</w:t>
      </w:r>
      <w:r>
        <w:rPr>
          <w:snapToGrid w:val="0"/>
        </w:rPr>
        <w:t> </w:t>
      </w:r>
      <w:r w:rsidRPr="009553D7">
        <w:rPr>
          <w:snapToGrid w:val="0"/>
        </w:rPr>
        <w:t>203</w:t>
      </w:r>
      <w:r>
        <w:rPr>
          <w:snapToGrid w:val="0"/>
        </w:rPr>
        <w:t>5</w:t>
      </w:r>
      <w:r w:rsidRPr="009553D7">
        <w:rPr>
          <w:snapToGrid w:val="0"/>
        </w:rPr>
        <w:t xml:space="preserve"> года</w:t>
      </w:r>
    </w:p>
    <w:p w14:paraId="58AA9AFB" w14:textId="24086175" w:rsidR="00534735" w:rsidRDefault="00534735"/>
    <w:p w14:paraId="708F89E9" w14:textId="4DB0AAED" w:rsidR="00534735" w:rsidRPr="00534735" w:rsidRDefault="00534735" w:rsidP="0053473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проекта акта</w:t>
      </w:r>
    </w:p>
    <w:p w14:paraId="4C95416C" w14:textId="4263A162" w:rsidR="00735727" w:rsidRDefault="009C4C3D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Стратегии развития строительной отрасли и жилищно-коммунального хозяйства Российской Федерации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2035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Стратегия) подготовлен </w:t>
      </w:r>
      <w:r w:rsidR="00735727">
        <w:rPr>
          <w:rFonts w:ascii="Times New Roman" w:hAnsi="Times New Roman" w:cs="Times New Roman"/>
          <w:sz w:val="28"/>
          <w:szCs w:val="28"/>
          <w:lang w:eastAsia="ru-RU"/>
        </w:rPr>
        <w:t>Министерством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участием представителей профессионального сообщества</w:t>
      </w:r>
      <w:r w:rsidR="0073572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6DA4B6AD" w14:textId="13D6B885" w:rsidR="00306360" w:rsidRDefault="00735727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разработке Стратегии учтены положения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4 «О национальных целях развития Российской Федерации на период до 20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проекта е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диного плана по достижению национальных целей развития Российской Федерации на период до 20</w:t>
      </w:r>
      <w:r w:rsidR="008C5CC6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 года, Стратегии пространственного развития Российской Федерации,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Стратеги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научно-технологического развития Российской Федерации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Транспортн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стратеги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на период до 2030 года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Стратеги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промышленности строительных материалов на период до 2020 года и дальнейшую перспективу до 2030 года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Комплексно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 w:rsidR="009C4C3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0E6D" w:rsidRPr="00C20E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территорий,</w:t>
      </w:r>
      <w:r w:rsidR="00C20E6D">
        <w:rPr>
          <w:lang w:eastAsia="ru-RU"/>
        </w:rPr>
        <w:t xml:space="preserve"> 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>Прогноз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6360" w:rsidRPr="0030636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Российской Федерации на период до 2036 года</w:t>
      </w:r>
      <w:r w:rsidR="00306360">
        <w:rPr>
          <w:rFonts w:ascii="Times New Roman" w:hAnsi="Times New Roman" w:cs="Times New Roman"/>
          <w:sz w:val="28"/>
          <w:szCs w:val="28"/>
          <w:lang w:eastAsia="ru-RU"/>
        </w:rPr>
        <w:t xml:space="preserve"> и положений документов стратегического планирования развития Российской Федерации, характеризующих развитие отраслей экономики Российской Федерации, а также социально-экономическое развитие макрорегионов.</w:t>
      </w:r>
    </w:p>
    <w:p w14:paraId="6862B06B" w14:textId="47E6015B" w:rsidR="00735727" w:rsidRDefault="00306360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Стратегии, являющейся межотраслевой для совокупности отраслей </w:t>
      </w:r>
      <w:r w:rsidR="004B525D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экономики, </w:t>
      </w:r>
      <w:r w:rsidR="00730A43">
        <w:rPr>
          <w:rFonts w:ascii="Times New Roman" w:hAnsi="Times New Roman" w:cs="Times New Roman"/>
          <w:sz w:val="28"/>
          <w:szCs w:val="28"/>
          <w:lang w:eastAsia="ru-RU"/>
        </w:rPr>
        <w:t xml:space="preserve">будет способствовать созданию </w:t>
      </w:r>
      <w:r w:rsidR="004B3102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планирования и регулирования строительной </w:t>
      </w:r>
      <w:r w:rsidR="004B525D">
        <w:rPr>
          <w:rFonts w:ascii="Times New Roman" w:hAnsi="Times New Roman" w:cs="Times New Roman"/>
          <w:sz w:val="28"/>
          <w:szCs w:val="28"/>
          <w:lang w:eastAsia="ru-RU"/>
        </w:rPr>
        <w:t>отрасли</w:t>
      </w:r>
      <w:r w:rsidR="004B3102" w:rsidRPr="004B3102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связанной с комплексной градостроительной деятельностью предприятий, организаций и индивидуальных предпринимателей, включающей: подготовку градостроительных решений, территориальное планирование, </w:t>
      </w:r>
      <w:r w:rsidR="004B3102" w:rsidRPr="004B3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градостроительное зонирование, планировку территории, выполнение изыскательских работ и архитектурно-строительного проектирования, осуществление строительной деятельности</w:t>
      </w:r>
      <w:r w:rsidR="00730A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B54609" w14:textId="2ADA25FF" w:rsidR="004B525D" w:rsidRDefault="004B525D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Одновременно принятие Стратегии будет способствовать регулированию вопросов, 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>связанны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с содержанием объектов недвижимости, включая объекты жилищно-коммунального хозяйства в застройке городов, иных поселений, 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>с управлением многоквартирными домами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капитальным ремонтом общего имущества в МКД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 xml:space="preserve"> обслуживанием городских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525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деятельности в сфере предоставления коммунальных услуг – теплоснабжения, горячего водоснабжения, холодного водоснабжения, водоотведения, электроснабжения и газоснабжения.</w:t>
      </w:r>
    </w:p>
    <w:p w14:paraId="16FB6051" w14:textId="3DF9183F" w:rsidR="007E3D7F" w:rsidRPr="007E3D7F" w:rsidRDefault="007E3D7F" w:rsidP="007E3D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Стратегии р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>егулирование строительной отрасли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в сфере ЖКХ рассматривается с использованием технологий информационного моделирования в </w:t>
      </w:r>
      <w:r w:rsidR="00560F2A">
        <w:rPr>
          <w:rFonts w:ascii="Times New Roman" w:hAnsi="Times New Roman" w:cs="Times New Roman"/>
          <w:sz w:val="28"/>
          <w:szCs w:val="28"/>
          <w:lang w:eastAsia="ru-RU"/>
        </w:rPr>
        <w:t>парадигме</w:t>
      </w:r>
      <w:r w:rsidR="008D4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 xml:space="preserve">перехода на единую систему управления объектами капитального строительства на всем протяжении жизненного цикла – от обоснования инвестиций до </w:t>
      </w:r>
      <w:r w:rsidR="00560F2A">
        <w:rPr>
          <w:rFonts w:ascii="Times New Roman" w:hAnsi="Times New Roman" w:cs="Times New Roman"/>
          <w:sz w:val="28"/>
          <w:szCs w:val="28"/>
          <w:lang w:eastAsia="ru-RU"/>
        </w:rPr>
        <w:t>сноса</w:t>
      </w:r>
      <w:r w:rsidRPr="007E3D7F">
        <w:rPr>
          <w:rFonts w:ascii="Times New Roman" w:hAnsi="Times New Roman" w:cs="Times New Roman"/>
          <w:sz w:val="28"/>
          <w:szCs w:val="28"/>
          <w:lang w:eastAsia="ru-RU"/>
        </w:rPr>
        <w:t xml:space="preserve"> и утилизации объекта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F6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02E68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устойчивой системы обращения с твердыми бытовыми отходами</w:t>
      </w:r>
      <w:r w:rsidR="008D4F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E3D7F">
        <w:rPr>
          <w:rFonts w:ascii="Times New Roman" w:hAnsi="Times New Roman" w:cs="Times New Roman"/>
          <w:sz w:val="28"/>
          <w:szCs w:val="28"/>
        </w:rPr>
        <w:t>.</w:t>
      </w:r>
    </w:p>
    <w:p w14:paraId="7A848B9D" w14:textId="017B8EA9" w:rsidR="00534735" w:rsidRPr="00534735" w:rsidRDefault="00534735" w:rsidP="00534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2. Описание проблемы, на решение которой направлен проект документа. Обоснование предлагаемых решений и ожидаемые результаты.</w:t>
      </w:r>
    </w:p>
    <w:p w14:paraId="028B26CB" w14:textId="286C222F" w:rsidR="00735727" w:rsidRPr="00735727" w:rsidRDefault="00735727" w:rsidP="007357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развития строительной отрасли </w:t>
      </w:r>
      <w:r w:rsidRPr="00735727">
        <w:rPr>
          <w:rFonts w:ascii="Times New Roman" w:hAnsi="Times New Roman" w:cs="Times New Roman"/>
          <w:snapToGrid w:val="0"/>
          <w:sz w:val="28"/>
          <w:szCs w:val="28"/>
        </w:rPr>
        <w:t>и жилищно-коммунального хозяйства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до 2035 года </w:t>
      </w:r>
      <w:r w:rsidRPr="00735727">
        <w:rPr>
          <w:rFonts w:ascii="Times New Roman" w:hAnsi="Times New Roman" w:cs="Times New Roman"/>
          <w:sz w:val="28"/>
          <w:szCs w:val="28"/>
        </w:rPr>
        <w:t>подготовлена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6C36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строительства и жилищно-коммунального хозяйства Российской Федерации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в соответствии с Планом мероприятий («дорожной картой»)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2018–2020 годы, утвержденным распоряжением Правительства Российской Федерации от 16 августа 2018 г. № 1697-р</w:t>
      </w:r>
      <w:r w:rsidR="00E117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7131766" w14:textId="027566AC" w:rsidR="00535876" w:rsidRPr="00535876" w:rsidRDefault="007F6BC0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Основная проблема, на решение которой направлен проект Стратегии – это повышение качества государственной политики при решении вопросов </w:t>
      </w:r>
      <w:r w:rsidRPr="00583CE8">
        <w:rPr>
          <w:rFonts w:ascii="Times New Roman" w:hAnsi="Times New Roman" w:cs="Times New Roman"/>
          <w:sz w:val="28"/>
          <w:szCs w:val="28"/>
          <w:lang w:eastAsia="ru-RU"/>
        </w:rPr>
        <w:t>нормативного регулирования общественных отношений в с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троительстве и жилищно-коммунальном хозяйстве.</w:t>
      </w:r>
    </w:p>
    <w:p w14:paraId="28BC28F6" w14:textId="4C1877F0" w:rsidR="009C4C3D" w:rsidRPr="005D4E62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Негативные макроэкономические тенденции</w:t>
      </w:r>
      <w:r w:rsidR="00804F0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сокращение реальных располагаемых доходов населения, дорого</w:t>
      </w:r>
      <w:r w:rsidR="0005270B">
        <w:rPr>
          <w:rFonts w:ascii="Times New Roman" w:hAnsi="Times New Roman" w:cs="Times New Roman"/>
          <w:sz w:val="28"/>
          <w:szCs w:val="28"/>
          <w:lang w:eastAsia="ru-RU"/>
        </w:rPr>
        <w:t>визна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банковск</w:t>
      </w:r>
      <w:r w:rsidR="00804F0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кредитования жилищного строительства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при введении системы счетов эскроу, </w:t>
      </w:r>
      <w:r w:rsidR="00710A88" w:rsidRPr="005D4E62">
        <w:rPr>
          <w:rFonts w:ascii="Times New Roman" w:hAnsi="Times New Roman" w:cs="Times New Roman"/>
          <w:sz w:val="28"/>
          <w:szCs w:val="28"/>
          <w:lang w:eastAsia="ru-RU"/>
        </w:rPr>
        <w:t>способствовали росту стоимости жилья, что без поддержки льготной ипотеки могло бы привести к временному снижению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спроса на </w:t>
      </w:r>
      <w:r w:rsidR="00710A88" w:rsidRPr="005D4E62">
        <w:rPr>
          <w:rFonts w:ascii="Times New Roman" w:hAnsi="Times New Roman" w:cs="Times New Roman"/>
          <w:sz w:val="28"/>
          <w:szCs w:val="28"/>
          <w:lang w:eastAsia="ru-RU"/>
        </w:rPr>
        <w:t>квартиры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в МКД.</w:t>
      </w:r>
    </w:p>
    <w:p w14:paraId="557C2D26" w14:textId="36D04E2D" w:rsidR="009C4C3D" w:rsidRPr="005D4E62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4E62">
        <w:rPr>
          <w:rFonts w:ascii="Times New Roman" w:hAnsi="Times New Roman" w:cs="Times New Roman"/>
          <w:sz w:val="28"/>
          <w:szCs w:val="28"/>
          <w:lang w:eastAsia="ru-RU"/>
        </w:rPr>
        <w:t>Противодействовать задаче повышения рождаемости и роста численности населения страны стали такие проблемы как: отвлечение средств населения на строительств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домов с апартаментами </w:t>
      </w:r>
      <w:r w:rsidR="00710A88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(20% предложений </w:t>
      </w:r>
      <w:r w:rsidR="00810EF5" w:rsidRPr="005D4E62">
        <w:rPr>
          <w:rFonts w:ascii="Times New Roman" w:hAnsi="Times New Roman" w:cs="Times New Roman"/>
          <w:sz w:val="28"/>
          <w:szCs w:val="28"/>
          <w:lang w:eastAsia="ru-RU"/>
        </w:rPr>
        <w:t>на рынках</w:t>
      </w:r>
      <w:r w:rsidR="00710A88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Москв</w:t>
      </w:r>
      <w:r w:rsidR="00810EF5" w:rsidRPr="005D4E6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10A88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и Сочи)</w:t>
      </w:r>
      <w:r w:rsidR="00810EF5" w:rsidRPr="005D4E62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710A88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без обеспечения жилищных прав граждан, их безопасности и комфорт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проживания; 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стоимости квартир в МКД 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уменьше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нии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средни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размер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квартир (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51-52</w:t>
      </w:r>
      <w:r w:rsidR="00004EA7" w:rsidRPr="005D4E62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2"/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кв. м. общей площади жилья) и количеств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комнат</w:t>
      </w:r>
      <w:r w:rsidR="00004EA7" w:rsidRPr="005D4E62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1-2 комнат</w:t>
      </w:r>
      <w:r w:rsidR="0005270B" w:rsidRPr="005D4E6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7DCE519" w14:textId="2126A296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Проблемы градостроительства и системы расселения страны связаны с нерациональным использованием земельного фонда, что привело к опустыниванию одних территорий и сверхконцентрации населения на других территориях (в пределах 1% территории) страны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с неполным соответствием отдельных положений Градостроительного кодекса Российской Федерации нормам Конституции Российской Федерации, что ограничивает влияние государственных органов исполнительной власти Российской Федерации и субъектов федерации на развитие целостной системы расселения населения страны, а также регулирование жилищной и земельной политики при градостроительной деятельности в муниципальных образованиях. </w:t>
      </w:r>
    </w:p>
    <w:p w14:paraId="104D9ED7" w14:textId="221DA2AD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Рост объемов ввода жилья, предусмотренный национальным проектом «Жилье и городская среда», при развитии </w:t>
      </w:r>
      <w:r w:rsidR="00C80D51">
        <w:rPr>
          <w:rFonts w:ascii="Times New Roman" w:hAnsi="Times New Roman" w:cs="Times New Roman"/>
          <w:sz w:val="28"/>
          <w:szCs w:val="28"/>
          <w:lang w:eastAsia="ru-RU"/>
        </w:rPr>
        <w:t xml:space="preserve">ИЖС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с сопутствующими объектами 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инфраструктуры и приложения труда потребуют значительного увеличения площади градостроительно подготовленных территорий для застройки. </w:t>
      </w:r>
    </w:p>
    <w:p w14:paraId="0CD35EC6" w14:textId="61E89063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Сфера ЖКХ по субъектам Российской Федерации и муниципальным образованиям находится в различном состоянии и характеризуется монополизмом ресурсоснабжающих организаций ЖКХ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 xml:space="preserve"> сложностью перевода этой сферы на самоокупаемость, самофинансирование и самоуправление.</w:t>
      </w:r>
    </w:p>
    <w:p w14:paraId="393350BD" w14:textId="22653666" w:rsidR="00BF73CA" w:rsidRPr="00BF73CA" w:rsidRDefault="00BF73CA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3C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ограничения развития ЖКХ, связанные с бедностью отдельных групп населения 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BF73CA">
        <w:rPr>
          <w:rFonts w:ascii="Times New Roman" w:hAnsi="Times New Roman" w:cs="Times New Roman"/>
          <w:sz w:val="28"/>
          <w:szCs w:val="28"/>
          <w:lang w:eastAsia="ru-RU"/>
        </w:rPr>
        <w:t xml:space="preserve"> оплат</w:t>
      </w:r>
      <w:r w:rsidR="007212F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F73CA">
        <w:rPr>
          <w:rFonts w:ascii="Times New Roman" w:hAnsi="Times New Roman" w:cs="Times New Roman"/>
          <w:sz w:val="28"/>
          <w:szCs w:val="28"/>
          <w:lang w:eastAsia="ru-RU"/>
        </w:rPr>
        <w:t xml:space="preserve"> услуг ЖКХ, с сохранением перекрестного субсидирования населения предприятиями, приводят к недостаточности инвестиций и механизмов привлечения внебюджетных средств для модернизации и развития систем ЖКХ, задержке реформ по адресной поддержке всех бедных слоев населения в виде адресных субсидий при оплате услуг ЖКХ, неэффективности деятельности управляющих компаний и дефициту кадров. </w:t>
      </w:r>
    </w:p>
    <w:p w14:paraId="028E689F" w14:textId="77777777" w:rsidR="009C4C3D" w:rsidRPr="009C4C3D" w:rsidRDefault="009C4C3D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В целом проблемами в строительстве и ЖКХ являются незавершенность реформ в системах подрядных торгов, подготовки кадров, ценообразования, технического регулирования, задержка дальнейшего развития институтов гражданского общества, сохранение и нередко наращивание административных барьеров, тормозящих развитие экономики страны. На торможение темпов развития строительной отрасли и ЖКХ оказывают чрезвычайные ситуации и эпидемиологические угрозы.</w:t>
      </w:r>
    </w:p>
    <w:p w14:paraId="2EB8CDA8" w14:textId="18F2CCE7" w:rsidR="00963443" w:rsidRDefault="009C4C3D" w:rsidP="009C4C3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C3D">
        <w:rPr>
          <w:rFonts w:ascii="Times New Roman" w:hAnsi="Times New Roman" w:cs="Times New Roman"/>
          <w:sz w:val="28"/>
          <w:szCs w:val="28"/>
          <w:lang w:eastAsia="ru-RU"/>
        </w:rPr>
        <w:t>Вместе с тем, опыт 2020 года показал устойчивость строительной отрасли и ЖКХ к неблагоприятным внешним воздействиям, в том числе, связанным с преодолением влияния на экономику страны пандемии Ковид. В жилищном строительстве удалось сохранить общие объемы ввода жилья, благодаря росту вложений средств населения в строительство домов ИЖС</w:t>
      </w:r>
      <w:r w:rsidR="0048282B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9C4C3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152560" w14:textId="3CD0AB11" w:rsidR="00534735" w:rsidRPr="00534735" w:rsidRDefault="00534735" w:rsidP="00534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Оценка соответствия проекта документа Указу Президента Российской Федерации от 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июл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>я 20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 № 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>4 «О национальных целях развития Российской Федерации на период до 20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534735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6F62B048" w14:textId="373CCE6D" w:rsidR="006C783C" w:rsidRPr="006C783C" w:rsidRDefault="006C783C" w:rsidP="006C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ует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оложениям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783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</w:t>
      </w:r>
      <w:r w:rsidR="008C5CC6" w:rsidRPr="008C5CC6">
        <w:rPr>
          <w:rFonts w:ascii="Times New Roman" w:hAnsi="Times New Roman" w:cs="Times New Roman"/>
          <w:sz w:val="28"/>
          <w:szCs w:val="28"/>
        </w:rPr>
        <w:t>21 июля 2020 № 474 «О национальных целях развития Российской Федерации на период до 2030 года»</w:t>
      </w:r>
      <w:r w:rsidR="008C5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Основным направлениям деятельности Правительства Российской Федерации на период до 2024 года, утвержденным Председателем Правительства Российской Федерации.</w:t>
      </w:r>
    </w:p>
    <w:p w14:paraId="55AFD63D" w14:textId="4F8D2AC1" w:rsidR="008C5CC6" w:rsidRDefault="006C783C" w:rsidP="000C5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Основное направление проекта документа – это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946E1">
        <w:rPr>
          <w:rFonts w:ascii="Times New Roman" w:hAnsi="Times New Roman" w:cs="Times New Roman"/>
          <w:sz w:val="28"/>
          <w:szCs w:val="28"/>
        </w:rPr>
        <w:t>е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4F0D7C">
        <w:rPr>
          <w:rFonts w:ascii="Times New Roman" w:hAnsi="Times New Roman" w:cs="Times New Roman"/>
          <w:sz w:val="28"/>
          <w:szCs w:val="28"/>
        </w:rPr>
        <w:t>ых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цел</w:t>
      </w:r>
      <w:r w:rsidR="004F0D7C">
        <w:rPr>
          <w:rFonts w:ascii="Times New Roman" w:hAnsi="Times New Roman" w:cs="Times New Roman"/>
          <w:sz w:val="28"/>
          <w:szCs w:val="28"/>
        </w:rPr>
        <w:t>ей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«Комфортная и безопасная среда для жизни» </w:t>
      </w:r>
      <w:r w:rsidR="004F0D7C" w:rsidRPr="004F0D7C">
        <w:rPr>
          <w:rFonts w:ascii="Times New Roman" w:hAnsi="Times New Roman" w:cs="Times New Roman"/>
          <w:sz w:val="28"/>
          <w:szCs w:val="28"/>
        </w:rPr>
        <w:t>и «Сохранение населения, здоровье и благополучие людей»</w:t>
      </w:r>
      <w:r w:rsidR="004F0D7C">
        <w:rPr>
          <w:rFonts w:ascii="Times New Roman" w:hAnsi="Times New Roman" w:cs="Times New Roman"/>
          <w:sz w:val="28"/>
          <w:szCs w:val="28"/>
        </w:rPr>
        <w:t>, а также</w:t>
      </w:r>
      <w:r w:rsidR="00A946E1" w:rsidRPr="00A946E1">
        <w:rPr>
          <w:rFonts w:ascii="Times New Roman" w:hAnsi="Times New Roman" w:cs="Times New Roman"/>
          <w:sz w:val="28"/>
          <w:szCs w:val="28"/>
        </w:rPr>
        <w:t xml:space="preserve"> задач национального проекта </w:t>
      </w:r>
      <w:r w:rsidR="001377D0">
        <w:rPr>
          <w:rFonts w:ascii="Times New Roman" w:hAnsi="Times New Roman" w:cs="Times New Roman"/>
          <w:sz w:val="28"/>
          <w:szCs w:val="28"/>
        </w:rPr>
        <w:t xml:space="preserve">«Жилье и городская среда» </w:t>
      </w:r>
      <w:r w:rsidR="008C5CC6" w:rsidRPr="000C5D5D">
        <w:rPr>
          <w:rFonts w:ascii="Times New Roman" w:hAnsi="Times New Roman" w:cs="Times New Roman"/>
          <w:sz w:val="28"/>
          <w:szCs w:val="28"/>
          <w:lang w:eastAsia="ru-RU"/>
        </w:rPr>
        <w:t>с о</w:t>
      </w:r>
      <w:r w:rsidR="004F0D7C">
        <w:rPr>
          <w:rFonts w:ascii="Times New Roman" w:hAnsi="Times New Roman" w:cs="Times New Roman"/>
          <w:sz w:val="28"/>
          <w:szCs w:val="28"/>
          <w:lang w:eastAsia="ru-RU"/>
        </w:rPr>
        <w:t>беспечени</w:t>
      </w:r>
      <w:r w:rsidR="008C5CC6" w:rsidRPr="000C5D5D">
        <w:rPr>
          <w:rFonts w:ascii="Times New Roman" w:hAnsi="Times New Roman" w:cs="Times New Roman"/>
          <w:sz w:val="28"/>
          <w:szCs w:val="28"/>
          <w:lang w:eastAsia="ru-RU"/>
        </w:rPr>
        <w:t xml:space="preserve">ем следующих </w:t>
      </w:r>
      <w:r w:rsidR="008C5CC6" w:rsidRPr="000C5D5D">
        <w:rPr>
          <w:rFonts w:ascii="Times New Roman" w:hAnsi="Times New Roman" w:cs="Times New Roman"/>
          <w:sz w:val="28"/>
          <w:szCs w:val="28"/>
        </w:rPr>
        <w:t>установленных целевых показателей:</w:t>
      </w:r>
    </w:p>
    <w:p w14:paraId="6EBD44A9" w14:textId="7A0D4777" w:rsidR="004F0D7C" w:rsidRPr="004F0D7C" w:rsidRDefault="004F0D7C" w:rsidP="004F0D7C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D7C">
        <w:rPr>
          <w:rFonts w:ascii="Times New Roman" w:hAnsi="Times New Roman" w:cs="Times New Roman"/>
          <w:sz w:val="28"/>
          <w:szCs w:val="28"/>
        </w:rPr>
        <w:t xml:space="preserve">улучшение жилищных условий не менее 5 млн семей в год (включая очередников на бесплатное получение жилья), стимулирование рождаемости и увеличение численности населения страны за счет ввода ежегодно до 120 млн кв. м общей площади жилья и роста объемов жилищного фонда путем развития всех видов строительства жилья, включая ИЖС, ЖК и ЖСК, а также финансовых механизмов системы ГЖС, «материнского капитала», проектного финансирования с использованием счетов эскроу и доступной ипотеки; </w:t>
      </w:r>
    </w:p>
    <w:p w14:paraId="6E000BF1" w14:textId="240B90F8" w:rsidR="004F0D7C" w:rsidRPr="004F0D7C" w:rsidRDefault="004F0D7C" w:rsidP="004F0D7C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D7C">
        <w:rPr>
          <w:rFonts w:ascii="Times New Roman" w:hAnsi="Times New Roman" w:cs="Times New Roman"/>
          <w:sz w:val="28"/>
          <w:szCs w:val="28"/>
        </w:rPr>
        <w:t>улучшение в полтора раза качества среды проживания в городах и иных поселениях за счет эффективного расселения населения страны, развития ЖКХ и дорожной сети, соответствующей на 85% требованиям нормативов, путем увеличения площади земель застройки и населенных пунктов с подготовкой территорий для строительства жилья, детских садов, школ, иных учебных заведений, больниц, поликлиник, объектов общественного питания и торговли, культуры, спорта и бизнеса, парковок автомобилей и парковых зон;</w:t>
      </w:r>
    </w:p>
    <w:p w14:paraId="12D702D5" w14:textId="1E67A604" w:rsidR="004F0D7C" w:rsidRDefault="004F0D7C" w:rsidP="004F0D7C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D7C">
        <w:rPr>
          <w:rFonts w:ascii="Times New Roman" w:hAnsi="Times New Roman" w:cs="Times New Roman"/>
          <w:sz w:val="28"/>
          <w:szCs w:val="28"/>
        </w:rPr>
        <w:t xml:space="preserve">обеспечение благополучия людей, доступности и комфортности услуг ЖКХ путем: предоставления всем нуждающимся в поддержке бедным слоям населения адресных субсидий по оплате услуг ЖКХ; повышения </w:t>
      </w:r>
      <w:r w:rsidRPr="004F0D7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Pr="004F0D7C">
        <w:rPr>
          <w:rFonts w:ascii="Times New Roman" w:hAnsi="Times New Roman" w:cs="Times New Roman"/>
          <w:sz w:val="28"/>
          <w:szCs w:val="36"/>
          <w:lang w:eastAsia="ru-RU"/>
        </w:rPr>
        <w:t>собственников</w:t>
      </w:r>
      <w:r w:rsidRPr="004F0D7C">
        <w:rPr>
          <w:rFonts w:ascii="Times New Roman" w:hAnsi="Times New Roman" w:cs="Times New Roman"/>
          <w:sz w:val="28"/>
          <w:szCs w:val="28"/>
        </w:rPr>
        <w:t xml:space="preserve"> жилья в МКД и компетенций управляющих компаний, институтов ТСЖ, ЖК и ЖСК; ликвидации аварийного жилья; проведения энергоэффективного капитального ремонта и модернизации МКД.</w:t>
      </w:r>
    </w:p>
    <w:p w14:paraId="22EFD922" w14:textId="388B542A" w:rsidR="004F0D7C" w:rsidRDefault="004F0D7C" w:rsidP="004F0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является обеспечение</w:t>
      </w:r>
      <w:r w:rsidRPr="00A946E1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946E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46E1">
        <w:rPr>
          <w:rFonts w:ascii="Times New Roman" w:hAnsi="Times New Roman" w:cs="Times New Roman"/>
          <w:sz w:val="28"/>
          <w:szCs w:val="28"/>
        </w:rPr>
        <w:t xml:space="preserve"> «</w:t>
      </w:r>
      <w:r w:rsidRPr="004F0D7C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предпринимательство» и «Цифровая трансформация»</w:t>
      </w:r>
      <w:r>
        <w:rPr>
          <w:rFonts w:ascii="Times New Roman" w:hAnsi="Times New Roman" w:cs="Times New Roman"/>
          <w:sz w:val="28"/>
          <w:szCs w:val="28"/>
        </w:rPr>
        <w:t>, с достижением следующих установленных целевых показателей:</w:t>
      </w:r>
    </w:p>
    <w:p w14:paraId="56965B8B" w14:textId="6F920AC9" w:rsidR="004F0D7C" w:rsidRDefault="004F0D7C" w:rsidP="004F0D7C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4F0D7C">
        <w:rPr>
          <w:rFonts w:ascii="Times New Roman" w:hAnsi="Times New Roman" w:cs="Times New Roman"/>
          <w:sz w:val="28"/>
          <w:szCs w:val="36"/>
          <w:lang w:eastAsia="ru-RU"/>
        </w:rPr>
        <w:t>совершенствование системы регулирования в строительной отрасли и ЖКХ, достижение «цифровой зрелости» на всех этапах жизненного цикла объектов, развитие добросовестной конкуренции, в том числе для предприятий малого и среднего предпринимательства, повышение уровня кадрового обеспечения, передача на принципах регуляторной гильотины полномочий и ответственности от государства бизнес-сообществу и гражданскому обществу в целях увеличения гарантий безопасности объектов и снижения на один год сроков реализации строительных проектов;</w:t>
      </w:r>
    </w:p>
    <w:p w14:paraId="4F1EB111" w14:textId="634858AA" w:rsidR="004F0D7C" w:rsidRPr="005D4E62" w:rsidRDefault="004F0D7C" w:rsidP="005D4E62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36"/>
          <w:lang w:eastAsia="ru-RU"/>
        </w:rPr>
      </w:pPr>
      <w:r w:rsidRPr="005D4E62">
        <w:rPr>
          <w:rFonts w:ascii="Times New Roman" w:hAnsi="Times New Roman" w:cs="Times New Roman"/>
          <w:sz w:val="28"/>
          <w:szCs w:val="28"/>
          <w:lang w:eastAsia="ru-RU"/>
        </w:rPr>
        <w:t>обеспечение устойчивого технологического развития ЖКХ и снижение износа основных фондов путем: самофинансирования, самоокупаемости и саморегулирования; ликвидации перекрестного субсидирования</w:t>
      </w:r>
      <w:r w:rsidRPr="005D4E62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;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сбалансированной тарифной политики; роста частных инвестиций в основной капитал не менее 70%; </w:t>
      </w:r>
      <w:r w:rsidRPr="005D4E62">
        <w:rPr>
          <w:rFonts w:ascii="Times New Roman" w:hAnsi="Times New Roman" w:cs="Times New Roman"/>
          <w:sz w:val="28"/>
          <w:szCs w:val="36"/>
          <w:lang w:eastAsia="ru-RU"/>
        </w:rPr>
        <w:t>развития систем коммунального хозяйства</w:t>
      </w:r>
      <w:r w:rsidRPr="005D4E62">
        <w:rPr>
          <w:rFonts w:ascii="Times New Roman" w:hAnsi="Times New Roman" w:cs="Times New Roman"/>
          <w:color w:val="00B050"/>
          <w:sz w:val="28"/>
          <w:szCs w:val="36"/>
          <w:lang w:eastAsia="ru-RU"/>
        </w:rPr>
        <w:t>;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устойчивой системы обращения с твердыми коммунальными отходами.</w:t>
      </w:r>
    </w:p>
    <w:p w14:paraId="353E40A1" w14:textId="77777777" w:rsidR="009C4C3D" w:rsidRPr="009C4C3D" w:rsidRDefault="009C4C3D" w:rsidP="009C4C3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0DD3A088" w14:textId="633D9FCA" w:rsidR="00534735" w:rsidRPr="00534735" w:rsidRDefault="005347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4. Оценка эффективности предлагаемых решений</w:t>
      </w:r>
    </w:p>
    <w:p w14:paraId="5FF4DE93" w14:textId="5DB392DA" w:rsidR="006C783C" w:rsidRPr="00386248" w:rsidRDefault="006C783C" w:rsidP="006C78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данным Росстата, </w:t>
      </w: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исленность занятых в строительстве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ЖКХ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составляла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около 9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,4</w:t>
      </w:r>
      <w:r w:rsidR="00351CC4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млн человек, или более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% от общего количества занятых в экономике. </w:t>
      </w:r>
    </w:p>
    <w:p w14:paraId="2B7048D4" w14:textId="11B612A1" w:rsidR="005031F9" w:rsidRDefault="006C783C" w:rsidP="00503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троительная отрасль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обеспечивает развитие практически всех отраслей экономики Российской Федерации, выполнив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, по виду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«Строительство» в 201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году,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объеме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9132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71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51CC4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6"/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 xml:space="preserve"> млрд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386248">
        <w:rPr>
          <w:rFonts w:ascii="Times New Roman" w:hAnsi="Times New Roman" w:cs="Times New Roman"/>
          <w:sz w:val="28"/>
          <w:szCs w:val="28"/>
          <w:lang w:eastAsia="ru-RU"/>
        </w:rPr>
        <w:t>текущих ценах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1F9" w:rsidRPr="005031F9">
        <w:rPr>
          <w:rFonts w:ascii="Times New Roman" w:hAnsi="Times New Roman" w:cs="Times New Roman"/>
          <w:sz w:val="28"/>
          <w:szCs w:val="28"/>
          <w:lang w:eastAsia="ru-RU"/>
        </w:rPr>
        <w:t>Годовой объем строительной отрасли, ЖКХ и промышленности строительных материалов в 2019 году составил около 16 трлн руб. (14,5% от ВВП), в том числе: строительство (без полного учета Росстатом данных по ИЖС и отделочным работам) – 9,13 трлн руб. (8,3 %), ЖКХ – 5,4 трлн руб. (4,9 %), стройматериалы – около 1,6 трлн руб.(1,3%).</w:t>
      </w:r>
    </w:p>
    <w:p w14:paraId="25D03E06" w14:textId="08F1287E" w:rsidR="00165DE6" w:rsidRPr="005D4E62" w:rsidRDefault="006C783C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жилищное строительство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которое в 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36B9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5DE6">
        <w:rPr>
          <w:rFonts w:ascii="Times New Roman" w:hAnsi="Times New Roman" w:cs="Times New Roman"/>
          <w:sz w:val="28"/>
          <w:szCs w:val="28"/>
          <w:lang w:eastAsia="ru-RU"/>
        </w:rPr>
        <w:t xml:space="preserve">было израсходовано </w:t>
      </w:r>
      <w:r w:rsidR="005031F9">
        <w:rPr>
          <w:rFonts w:ascii="Times New Roman" w:hAnsi="Times New Roman" w:cs="Times New Roman"/>
          <w:sz w:val="28"/>
          <w:szCs w:val="28"/>
          <w:lang w:eastAsia="ru-RU"/>
        </w:rPr>
        <w:t xml:space="preserve">около 5 трлн. рублей, финансируется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населения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на 9</w:t>
      </w:r>
      <w:r w:rsidR="00D3066A" w:rsidRPr="005D4E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47F49" w:rsidRPr="005D4E62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7"/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ЖКХ, на которое 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>было из</w:t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>расход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>овано</w:t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в год 5,4 трлн. рублей, также финансируется за счет </w:t>
      </w:r>
      <w:r w:rsidR="00416C32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на </w:t>
      </w:r>
      <w:r w:rsidR="009F16FA" w:rsidRPr="005D4E62">
        <w:rPr>
          <w:rFonts w:ascii="Times New Roman" w:hAnsi="Times New Roman" w:cs="Times New Roman"/>
          <w:sz w:val="28"/>
          <w:szCs w:val="28"/>
          <w:lang w:eastAsia="ru-RU"/>
        </w:rPr>
        <w:t>93</w:t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47F49" w:rsidRPr="005D4E62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8"/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6B9B" w:rsidRPr="005D4E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031F9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асходы бюджетов всех уровней на строительство или приобретение жилья 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и частичную оплату услуг ЖКХ составляют около </w:t>
      </w:r>
      <w:r w:rsidR="009F16FA" w:rsidRPr="005D4E6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936B9B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от общих расходов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. То есть финансовая поддержка бюджетов всех уровней позволяет на каждый затраченный 1 рубль привлечь средства населения на </w:t>
      </w:r>
      <w:r w:rsidR="00C80D51" w:rsidRPr="005D4E62">
        <w:rPr>
          <w:rFonts w:ascii="Times New Roman" w:hAnsi="Times New Roman" w:cs="Times New Roman"/>
          <w:sz w:val="28"/>
          <w:szCs w:val="28"/>
          <w:lang w:eastAsia="ru-RU"/>
        </w:rPr>
        <w:t>10-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80D51" w:rsidRPr="005D4E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5DE6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83B211C" w14:textId="534EE9F0" w:rsidR="005031F9" w:rsidRDefault="00936B9B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жилья и функционирование ЖКХ являлись «локомотивом» экономики страны, обеспечивая высокий мультипликативный эффект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привлекая дополнительные средства населения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рынка земли для жилищного строительства и сети внутрипоселковых дорог,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производств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 xml:space="preserve">и монтаж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коммунального оборудования, включая автономные системы, </w:t>
      </w:r>
      <w:r w:rsidR="00425FE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рост объемов производства строительных материалов, изделий и конструкций, продаж мебели, бытовой техники, текстиля</w:t>
      </w:r>
      <w:r w:rsidR="00C80D5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домашней утвар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25FE9" w:rsidRPr="00425FE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C70093" w14:textId="7D3BDB01" w:rsidR="005031F9" w:rsidRDefault="00425FE9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ромышленное и сельскохозяйственное строительство финансируется в основном за счет частных предприятий с 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>бюджетной поддержкой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10F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инфраструктурном и социальном строительстве в основном используются бюджетные инвестиции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t xml:space="preserve"> Совокупная доля </w:t>
      </w:r>
      <w:r w:rsidR="006C78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бюджетных инвестиций в деятельности строительной отрасли и ЖКХ </w:t>
      </w:r>
      <w:r w:rsidR="00A3617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в последние годы </w:t>
      </w:r>
      <w:r w:rsidR="00A3617A" w:rsidRPr="005D4E62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6C783C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E4C" w:rsidRPr="005D4E6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617A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6C783C" w:rsidRPr="005D4E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A3E4C" w:rsidRPr="005D4E6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C783C" w:rsidRPr="005D4E62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9F16FA" w:rsidRPr="005D4E62"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9"/>
      </w:r>
      <w:r w:rsidR="006C783C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87F196A" w14:textId="77777777" w:rsidR="009C4C3D" w:rsidRPr="009C4C3D" w:rsidRDefault="009C4C3D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24203D06" w14:textId="77777777" w:rsidR="0014029A" w:rsidRPr="0014029A" w:rsidRDefault="0014029A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29A">
        <w:rPr>
          <w:rFonts w:ascii="Times New Roman" w:hAnsi="Times New Roman" w:cs="Times New Roman"/>
          <w:b/>
          <w:bCs/>
          <w:sz w:val="28"/>
          <w:szCs w:val="28"/>
        </w:rPr>
        <w:t xml:space="preserve">Риски реализации Стратегии </w:t>
      </w:r>
    </w:p>
    <w:p w14:paraId="4806444A" w14:textId="4013D9F5" w:rsidR="0014029A" w:rsidRPr="00F91769" w:rsidRDefault="0014029A" w:rsidP="00A54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A">
        <w:rPr>
          <w:rFonts w:ascii="Times New Roman" w:hAnsi="Times New Roman" w:cs="Times New Roman"/>
          <w:sz w:val="28"/>
          <w:szCs w:val="28"/>
        </w:rPr>
        <w:t xml:space="preserve">Достижению поставленных стратегических целей и выполнению задач Стратегии могут препятствовать </w:t>
      </w:r>
      <w:r w:rsidR="00A54DF4">
        <w:rPr>
          <w:rFonts w:ascii="Times New Roman" w:hAnsi="Times New Roman" w:cs="Times New Roman"/>
          <w:sz w:val="28"/>
          <w:szCs w:val="28"/>
        </w:rPr>
        <w:t>м</w:t>
      </w:r>
      <w:r w:rsidRPr="00F91769">
        <w:rPr>
          <w:rFonts w:ascii="Times New Roman" w:hAnsi="Times New Roman" w:cs="Times New Roman"/>
          <w:sz w:val="28"/>
          <w:szCs w:val="28"/>
        </w:rPr>
        <w:t>акроэкономические</w:t>
      </w:r>
      <w:r w:rsidR="00A54DF4">
        <w:rPr>
          <w:rFonts w:ascii="Times New Roman" w:hAnsi="Times New Roman" w:cs="Times New Roman"/>
          <w:sz w:val="28"/>
          <w:szCs w:val="28"/>
        </w:rPr>
        <w:t xml:space="preserve"> риски, </w:t>
      </w:r>
      <w:r w:rsidRPr="00F91769">
        <w:rPr>
          <w:rFonts w:ascii="Times New Roman" w:hAnsi="Times New Roman" w:cs="Times New Roman"/>
          <w:sz w:val="28"/>
          <w:szCs w:val="28"/>
        </w:rPr>
        <w:t>риски нормативного и административного характера</w:t>
      </w:r>
      <w:r w:rsidR="00A54DF4">
        <w:rPr>
          <w:rFonts w:ascii="Times New Roman" w:hAnsi="Times New Roman" w:cs="Times New Roman"/>
          <w:sz w:val="28"/>
          <w:szCs w:val="28"/>
        </w:rPr>
        <w:t xml:space="preserve">, </w:t>
      </w:r>
      <w:r w:rsidRPr="00F91769">
        <w:rPr>
          <w:rFonts w:ascii="Times New Roman" w:hAnsi="Times New Roman" w:cs="Times New Roman"/>
          <w:sz w:val="28"/>
          <w:szCs w:val="28"/>
        </w:rPr>
        <w:t>кадровые и управленческие риски</w:t>
      </w:r>
      <w:r w:rsidR="00A54DF4">
        <w:rPr>
          <w:rFonts w:ascii="Times New Roman" w:hAnsi="Times New Roman" w:cs="Times New Roman"/>
          <w:sz w:val="28"/>
          <w:szCs w:val="28"/>
        </w:rPr>
        <w:t xml:space="preserve">, </w:t>
      </w:r>
      <w:r w:rsidRPr="00F91769">
        <w:rPr>
          <w:rFonts w:ascii="Times New Roman" w:hAnsi="Times New Roman" w:cs="Times New Roman"/>
          <w:sz w:val="28"/>
          <w:szCs w:val="28"/>
        </w:rPr>
        <w:t>риски технологической перестройки</w:t>
      </w:r>
      <w:r w:rsidR="00A54DF4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F91769">
        <w:rPr>
          <w:rFonts w:ascii="Times New Roman" w:hAnsi="Times New Roman" w:cs="Times New Roman"/>
          <w:sz w:val="28"/>
          <w:szCs w:val="28"/>
        </w:rPr>
        <w:t>градостроительные риски и риски, связанные с территориальным планированием.</w:t>
      </w:r>
      <w:r w:rsidR="00A54DF4">
        <w:rPr>
          <w:rFonts w:ascii="Times New Roman" w:hAnsi="Times New Roman" w:cs="Times New Roman"/>
          <w:sz w:val="28"/>
          <w:szCs w:val="28"/>
        </w:rPr>
        <w:t xml:space="preserve"> Подробный анализ перечисленных рисков представлен в тексте Стратегии.</w:t>
      </w:r>
    </w:p>
    <w:p w14:paraId="74CABC75" w14:textId="77777777" w:rsidR="009C4C3D" w:rsidRPr="009C4C3D" w:rsidRDefault="009C4C3D" w:rsidP="00122724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0C018E6" w14:textId="23C9BAA5" w:rsidR="00534735" w:rsidRPr="00534735" w:rsidRDefault="00534735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4735">
        <w:rPr>
          <w:rFonts w:ascii="Times New Roman" w:hAnsi="Times New Roman" w:cs="Times New Roman"/>
          <w:b/>
          <w:bCs/>
          <w:sz w:val="28"/>
          <w:szCs w:val="28"/>
        </w:rPr>
        <w:t>5. Оценка влияния предлагаемых решений на деятельность органов государственной власти субъектов Российской Федерации и (или) органов местного самоуправления</w:t>
      </w:r>
    </w:p>
    <w:p w14:paraId="0498E564" w14:textId="1CBA8245" w:rsidR="006D4A93" w:rsidRPr="006D4A93" w:rsidRDefault="006D4A93" w:rsidP="0012272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правового регулирования градостроительства существуют противоречия между нормами статьи 72 Конституции Российской Федерации по совместному ведению Российской Федерации и субъектов федерации по реализации жилищной и земельной политики и Градостроительного кодекса Российской Федерации, относящего к исключительным полномочиям муниципальных образований реализацию жилищной и земельной политики при градостроительном регулировании застройки. При этом ни Российская Федерация, ни субъекты федерации, если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r w:rsidR="00FA3E4C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не имеют </w:t>
      </w:r>
      <w:r w:rsidR="005D4E62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FA3E4C" w:rsidRPr="005D4E62">
        <w:rPr>
          <w:rFonts w:ascii="Times New Roman" w:hAnsi="Times New Roman" w:cs="Times New Roman"/>
          <w:sz w:val="28"/>
          <w:szCs w:val="28"/>
          <w:lang w:eastAsia="ru-RU"/>
        </w:rPr>
        <w:t>соглашений с муниципалитетами и</w:t>
      </w:r>
      <w:r w:rsidR="005D4E62" w:rsidRPr="005D4E62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FA3E4C"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4E62">
        <w:rPr>
          <w:rFonts w:ascii="Times New Roman" w:hAnsi="Times New Roman" w:cs="Times New Roman"/>
          <w:sz w:val="28"/>
          <w:szCs w:val="28"/>
          <w:lang w:eastAsia="ru-RU"/>
        </w:rPr>
        <w:t xml:space="preserve">не финансируют строительство конкретного объекта, не вправе влиять на эту деятельность муниципалитетов. </w:t>
      </w:r>
    </w:p>
    <w:p w14:paraId="78EDBAE0" w14:textId="6D3300E4" w:rsidR="00131885" w:rsidRDefault="006D4A93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строительной отрасли </w:t>
      </w:r>
      <w:r w:rsidRPr="00735727">
        <w:rPr>
          <w:rFonts w:ascii="Times New Roman" w:hAnsi="Times New Roman" w:cs="Times New Roman"/>
          <w:snapToGrid w:val="0"/>
          <w:sz w:val="28"/>
          <w:szCs w:val="28"/>
        </w:rPr>
        <w:t>и жилищно-коммунального хозяйства</w:t>
      </w:r>
      <w:r w:rsidRPr="0073572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до 2035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в</w:t>
      </w:r>
      <w:r w:rsidR="003D39C9">
        <w:rPr>
          <w:rFonts w:ascii="Times New Roman" w:hAnsi="Times New Roman" w:cs="Times New Roman"/>
          <w:sz w:val="28"/>
          <w:szCs w:val="28"/>
          <w:lang w:eastAsia="ru-RU"/>
        </w:rPr>
        <w:t>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в Градостроительный кодекс Российской Федерации поняти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«градостроительные зоны развития»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в 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планирования Российской Федерации в области расселения,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планирования субъектов Российской Федерации в области расселения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так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>схем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D4A93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объектов магистральной транспортной, энергетической, инженерной и иной инфраструктуры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19AB7C2" w14:textId="55BC390B" w:rsidR="00131885" w:rsidRDefault="00131885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>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градостроительных решений по развитию комплексной малоэтажной жилой застройки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градостроительных зонах развития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социальной сферы, инженерной, коммунальной и транспортной инфраструктуры,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 Российской Федерации, а также субъектам федерации деятельно влиять на процессы выделения земель, а 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последующем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позволит 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>сокра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тить требования и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31885">
        <w:rPr>
          <w:rFonts w:ascii="Times New Roman" w:hAnsi="Times New Roman" w:cs="Times New Roman"/>
          <w:sz w:val="28"/>
          <w:szCs w:val="28"/>
          <w:lang w:eastAsia="ru-RU"/>
        </w:rPr>
        <w:t xml:space="preserve"> излишней градостроительной документации для первичных муниципальных образований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703E6C" w14:textId="77777777" w:rsidR="00534735" w:rsidRPr="00534735" w:rsidRDefault="00534735" w:rsidP="00122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34735" w:rsidRPr="00534735" w:rsidSect="00D26BA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F4230" w14:textId="77777777" w:rsidR="00F053D1" w:rsidRDefault="00F053D1" w:rsidP="00D26BAA">
      <w:pPr>
        <w:spacing w:after="0" w:line="240" w:lineRule="auto"/>
      </w:pPr>
      <w:r>
        <w:separator/>
      </w:r>
    </w:p>
  </w:endnote>
  <w:endnote w:type="continuationSeparator" w:id="0">
    <w:p w14:paraId="6BCAC2BA" w14:textId="77777777" w:rsidR="00F053D1" w:rsidRDefault="00F053D1" w:rsidP="00D2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BD5DE" w14:textId="77777777" w:rsidR="00F053D1" w:rsidRDefault="00F053D1" w:rsidP="00D26BAA">
      <w:pPr>
        <w:spacing w:after="0" w:line="240" w:lineRule="auto"/>
      </w:pPr>
      <w:r>
        <w:separator/>
      </w:r>
    </w:p>
  </w:footnote>
  <w:footnote w:type="continuationSeparator" w:id="0">
    <w:p w14:paraId="6564982C" w14:textId="77777777" w:rsidR="00F053D1" w:rsidRDefault="00F053D1" w:rsidP="00D26BAA">
      <w:pPr>
        <w:spacing w:after="0" w:line="240" w:lineRule="auto"/>
      </w:pPr>
      <w:r>
        <w:continuationSeparator/>
      </w:r>
    </w:p>
  </w:footnote>
  <w:footnote w:id="1">
    <w:p w14:paraId="2F6AE2FE" w14:textId="7AD194DE" w:rsidR="00810EF5" w:rsidRPr="00B67D9A" w:rsidRDefault="00810EF5">
      <w:pPr>
        <w:pStyle w:val="af"/>
        <w:rPr>
          <w:rFonts w:ascii="Times New Roman" w:hAnsi="Times New Roman" w:cs="Times New Roman"/>
          <w:color w:val="000000" w:themeColor="text1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 ЦИАН: </w:t>
      </w:r>
      <w:hyperlink r:id="rId1" w:history="1">
        <w:r w:rsidRPr="00B67D9A">
          <w:rPr>
            <w:rStyle w:val="af1"/>
            <w:rFonts w:ascii="Times New Roman" w:hAnsi="Times New Roman" w:cs="Times New Roman"/>
            <w:color w:val="000000" w:themeColor="text1"/>
          </w:rPr>
          <w:t>https://krasnogorsk.cian.ru/stati-stolichnye-shtuchki-polzujutsja-li-populjarnostju-apartamenty-306637/</w:t>
        </w:r>
      </w:hyperlink>
      <w:r w:rsidRPr="00B67D9A"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2">
    <w:p w14:paraId="172D1F50" w14:textId="56AE148A" w:rsidR="00625192" w:rsidRPr="00B67D9A" w:rsidRDefault="00004EA7">
      <w:pPr>
        <w:pStyle w:val="af"/>
        <w:rPr>
          <w:rFonts w:ascii="Times New Roman" w:hAnsi="Times New Roman" w:cs="Times New Roman"/>
          <w:color w:val="000000" w:themeColor="text1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Росстат. Россия в цифрах. 2020, стр. 390, табл. 18.13, расчет: (82</w:t>
      </w:r>
      <w:r w:rsidR="00231E89" w:rsidRPr="00B67D9A">
        <w:rPr>
          <w:rFonts w:ascii="Times New Roman" w:hAnsi="Times New Roman" w:cs="Times New Roman"/>
          <w:color w:val="000000" w:themeColor="text1"/>
        </w:rPr>
        <w:t>-38,5)* 1000/(1120-277) = 43500/843 = 51,6</w:t>
      </w:r>
      <w:r w:rsidR="00625192" w:rsidRPr="00B67D9A">
        <w:rPr>
          <w:rFonts w:ascii="Times New Roman" w:hAnsi="Times New Roman" w:cs="Times New Roman"/>
          <w:color w:val="000000" w:themeColor="text1"/>
        </w:rPr>
        <w:t xml:space="preserve">, </w:t>
      </w:r>
    </w:p>
  </w:footnote>
  <w:footnote w:id="3">
    <w:p w14:paraId="7053F36E" w14:textId="648AA6D8" w:rsidR="00004EA7" w:rsidRPr="00B67D9A" w:rsidRDefault="00004EA7">
      <w:pPr>
        <w:pStyle w:val="af"/>
        <w:rPr>
          <w:rFonts w:ascii="Times New Roman" w:hAnsi="Times New Roman" w:cs="Times New Roman"/>
          <w:color w:val="000000" w:themeColor="text1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Там же, табл. 18.13</w:t>
      </w:r>
      <w:r w:rsidR="00231E89" w:rsidRPr="00B67D9A">
        <w:rPr>
          <w:rFonts w:ascii="Times New Roman" w:hAnsi="Times New Roman" w:cs="Times New Roman"/>
          <w:color w:val="000000" w:themeColor="text1"/>
        </w:rPr>
        <w:t xml:space="preserve"> (однокомнатных+двухкомнатных)=46%+28%=74%</w:t>
      </w:r>
    </w:p>
  </w:footnote>
  <w:footnote w:id="4">
    <w:p w14:paraId="35AB6E85" w14:textId="559DB1A3" w:rsidR="0048282B" w:rsidRPr="00B67D9A" w:rsidRDefault="0048282B">
      <w:pPr>
        <w:pStyle w:val="af"/>
        <w:rPr>
          <w:color w:val="000000" w:themeColor="text1"/>
        </w:rPr>
      </w:pPr>
      <w:r w:rsidRPr="00B67D9A">
        <w:rPr>
          <w:rStyle w:val="a7"/>
          <w:color w:val="000000" w:themeColor="text1"/>
        </w:rPr>
        <w:footnoteRef/>
      </w:r>
      <w:r w:rsidRPr="00B67D9A">
        <w:rPr>
          <w:color w:val="000000" w:themeColor="text1"/>
        </w:rPr>
        <w:t xml:space="preserve"> </w:t>
      </w:r>
      <w:r w:rsidRPr="00B67D9A">
        <w:rPr>
          <w:rFonts w:ascii="Times New Roman" w:hAnsi="Times New Roman" w:cs="Times New Roman"/>
          <w:color w:val="000000" w:themeColor="text1"/>
        </w:rPr>
        <w:t>Росстат. Россия в цифрах. 2020, стр. 388, табл. 18.10 (доля ИЖС увеличилась с 39,6% в 2016г. до 46,9% в 2019г.)</w:t>
      </w:r>
    </w:p>
  </w:footnote>
  <w:footnote w:id="5">
    <w:p w14:paraId="4D15A54A" w14:textId="78A29EE1" w:rsidR="00351CC4" w:rsidRPr="00B67D9A" w:rsidRDefault="00351CC4">
      <w:pPr>
        <w:pStyle w:val="af"/>
        <w:rPr>
          <w:rFonts w:ascii="Times New Roman" w:hAnsi="Times New Roman" w:cs="Times New Roman"/>
          <w:color w:val="000000" w:themeColor="text1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Росстат. Россия в цифрах. 2020, стр. 89-90, табл. 48.4. Строительство: 6,3; комм. ресурсы 2,3, проч. 0,8 млн. чел. (Не вошли – операции с недвиж. 1,8 млн. чел.)</w:t>
      </w:r>
    </w:p>
  </w:footnote>
  <w:footnote w:id="6">
    <w:p w14:paraId="10F56BC1" w14:textId="58B06E6C" w:rsidR="00351CC4" w:rsidRPr="00B67D9A" w:rsidRDefault="00351CC4">
      <w:pPr>
        <w:pStyle w:val="af"/>
        <w:rPr>
          <w:rFonts w:ascii="Times New Roman" w:hAnsi="Times New Roman" w:cs="Times New Roman"/>
          <w:color w:val="000000" w:themeColor="text1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Росстат. Россия в цифрах. 2020, стр. 379, табл. 18.1</w:t>
      </w:r>
    </w:p>
  </w:footnote>
  <w:footnote w:id="7">
    <w:p w14:paraId="788C17A6" w14:textId="0E8BD595" w:rsidR="00347F49" w:rsidRPr="00B67D9A" w:rsidRDefault="00347F49">
      <w:pPr>
        <w:pStyle w:val="af"/>
        <w:rPr>
          <w:rFonts w:ascii="Times New Roman" w:hAnsi="Times New Roman" w:cs="Times New Roman"/>
          <w:color w:val="000000" w:themeColor="text1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</w:t>
      </w:r>
      <w:r w:rsidR="00D3066A" w:rsidRPr="00B67D9A">
        <w:rPr>
          <w:rFonts w:ascii="Times New Roman" w:hAnsi="Times New Roman" w:cs="Times New Roman"/>
          <w:color w:val="000000" w:themeColor="text1"/>
        </w:rPr>
        <w:t>Росстат. Жилищное хозяйство в России. 2019. Статистический сборник. Стр.14 табл. 2.2 Распределение жилищного фонда по формам собственности</w:t>
      </w:r>
    </w:p>
  </w:footnote>
  <w:footnote w:id="8">
    <w:p w14:paraId="78868F5A" w14:textId="13A00804" w:rsidR="00347F49" w:rsidRPr="005D4E62" w:rsidRDefault="00347F49">
      <w:pPr>
        <w:pStyle w:val="af"/>
        <w:rPr>
          <w:rFonts w:ascii="Times New Roman" w:hAnsi="Times New Roman" w:cs="Times New Roman"/>
          <w:color w:val="0070C0"/>
        </w:rPr>
      </w:pPr>
      <w:r w:rsidRPr="00B67D9A">
        <w:rPr>
          <w:rStyle w:val="a7"/>
          <w:rFonts w:ascii="Times New Roman" w:hAnsi="Times New Roman" w:cs="Times New Roman"/>
          <w:color w:val="000000" w:themeColor="text1"/>
        </w:rPr>
        <w:footnoteRef/>
      </w:r>
      <w:r w:rsidRPr="00B67D9A">
        <w:rPr>
          <w:rFonts w:ascii="Times New Roman" w:hAnsi="Times New Roman" w:cs="Times New Roman"/>
          <w:color w:val="000000" w:themeColor="text1"/>
        </w:rPr>
        <w:t xml:space="preserve"> </w:t>
      </w:r>
      <w:r w:rsidR="00D3066A" w:rsidRPr="00B67D9A">
        <w:rPr>
          <w:rFonts w:ascii="Times New Roman" w:hAnsi="Times New Roman" w:cs="Times New Roman"/>
          <w:color w:val="000000" w:themeColor="text1"/>
        </w:rPr>
        <w:t xml:space="preserve">Росстат. Субсидии на оплату помещений и ЖКХ: </w:t>
      </w:r>
      <w:hyperlink r:id="rId2" w:history="1">
        <w:r w:rsidR="00D3066A" w:rsidRPr="00B67D9A">
          <w:rPr>
            <w:rStyle w:val="af1"/>
            <w:rFonts w:ascii="Times New Roman" w:hAnsi="Times New Roman" w:cs="Times New Roman"/>
            <w:color w:val="000000" w:themeColor="text1"/>
          </w:rPr>
          <w:t>https://rosstat.gov.ru/storage/mediabank/mjil4.htm</w:t>
        </w:r>
      </w:hyperlink>
      <w:r w:rsidR="00D3066A" w:rsidRPr="00B67D9A">
        <w:rPr>
          <w:rFonts w:ascii="Times New Roman" w:hAnsi="Times New Roman" w:cs="Times New Roman"/>
          <w:color w:val="000000" w:themeColor="text1"/>
        </w:rPr>
        <w:t xml:space="preserve">,  Социальная поддержка на оплату </w:t>
      </w:r>
      <w:hyperlink r:id="rId3" w:history="1">
        <w:r w:rsidR="00D3066A" w:rsidRPr="00B67D9A">
          <w:rPr>
            <w:rStyle w:val="af1"/>
            <w:rFonts w:ascii="Times New Roman" w:hAnsi="Times New Roman" w:cs="Times New Roman"/>
            <w:color w:val="000000" w:themeColor="text1"/>
          </w:rPr>
          <w:t>https://rosstat.gov.ru/storage/mediabank/jkh49.docx</w:t>
        </w:r>
      </w:hyperlink>
      <w:r w:rsidR="00D3066A" w:rsidRPr="00B67D9A">
        <w:rPr>
          <w:rFonts w:ascii="Times New Roman" w:hAnsi="Times New Roman" w:cs="Times New Roman"/>
          <w:color w:val="000000" w:themeColor="text1"/>
        </w:rPr>
        <w:t xml:space="preserve"> Итого: 70,7+305,5 = 375,2 млрд. руб</w:t>
      </w:r>
      <w:r w:rsidR="00D3066A" w:rsidRPr="005D4E62">
        <w:rPr>
          <w:rFonts w:ascii="Times New Roman" w:hAnsi="Times New Roman" w:cs="Times New Roman"/>
          <w:color w:val="0070C0"/>
        </w:rPr>
        <w:t xml:space="preserve">. </w:t>
      </w:r>
    </w:p>
  </w:footnote>
  <w:footnote w:id="9">
    <w:p w14:paraId="0F233FB1" w14:textId="2FB5A478" w:rsidR="009F16FA" w:rsidRPr="00B67D9A" w:rsidRDefault="009F16FA">
      <w:pPr>
        <w:pStyle w:val="af"/>
        <w:rPr>
          <w:rFonts w:ascii="Times New Roman" w:hAnsi="Times New Roman" w:cs="Times New Roman"/>
        </w:rPr>
      </w:pPr>
      <w:r w:rsidRPr="00B67D9A">
        <w:rPr>
          <w:rStyle w:val="a7"/>
          <w:rFonts w:ascii="Times New Roman" w:hAnsi="Times New Roman" w:cs="Times New Roman"/>
        </w:rPr>
        <w:footnoteRef/>
      </w:r>
      <w:r w:rsidRPr="00B67D9A">
        <w:rPr>
          <w:rFonts w:ascii="Times New Roman" w:hAnsi="Times New Roman" w:cs="Times New Roman"/>
        </w:rPr>
        <w:t xml:space="preserve"> Росстат. Россия в цифрах. 2020, стр. 200, табл. 13.5 Инвестиции в основной капитал (бюджетные средства 15,8%)</w:t>
      </w:r>
      <w:r w:rsidR="00FA3E4C" w:rsidRPr="00B67D9A">
        <w:rPr>
          <w:rFonts w:ascii="Times New Roman" w:hAnsi="Times New Roman" w:cs="Times New Roman"/>
        </w:rPr>
        <w:t>. Росстат. Строительный комплекс Российской Федерации в 2019 году. Табл. 6 – Струткра работ по виду деятельности «Строительство»: Строительство автодорог 19,7%, мостов и тоннелей 1,7%. Прочие объекты (социальные, административные, обороны и др) до 5% (оценка).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379406415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0FCDC9EB" w14:textId="63BF5B38" w:rsidR="00D26BAA" w:rsidRDefault="00D26BAA" w:rsidP="009A3A28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7378F19E" w14:textId="77777777" w:rsidR="00D26BAA" w:rsidRDefault="00D26B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87394609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3BA4284F" w14:textId="58D62BC3" w:rsidR="00D26BAA" w:rsidRDefault="00D26BAA" w:rsidP="009A3A28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3805D2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CADB031" w14:textId="77777777" w:rsidR="00D26BAA" w:rsidRDefault="00D26B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39C"/>
    <w:multiLevelType w:val="hybridMultilevel"/>
    <w:tmpl w:val="EBD4BB70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13941"/>
    <w:multiLevelType w:val="multilevel"/>
    <w:tmpl w:val="99B0852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hint="default"/>
      </w:rPr>
    </w:lvl>
  </w:abstractNum>
  <w:abstractNum w:abstractNumId="2" w15:restartNumberingAfterBreak="0">
    <w:nsid w:val="16E75853"/>
    <w:multiLevelType w:val="hybridMultilevel"/>
    <w:tmpl w:val="4BB6E74E"/>
    <w:lvl w:ilvl="0" w:tplc="153043B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E5BEE"/>
    <w:multiLevelType w:val="multilevel"/>
    <w:tmpl w:val="09E4F5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FEB143A"/>
    <w:multiLevelType w:val="hybridMultilevel"/>
    <w:tmpl w:val="42320282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FF7657D"/>
    <w:multiLevelType w:val="hybridMultilevel"/>
    <w:tmpl w:val="68FC1E9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06D0564"/>
    <w:multiLevelType w:val="hybridMultilevel"/>
    <w:tmpl w:val="DFF2E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822756"/>
    <w:multiLevelType w:val="hybridMultilevel"/>
    <w:tmpl w:val="A74236FA"/>
    <w:lvl w:ilvl="0" w:tplc="15304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2377B"/>
    <w:multiLevelType w:val="multilevel"/>
    <w:tmpl w:val="9BCA2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3BB055E"/>
    <w:multiLevelType w:val="hybridMultilevel"/>
    <w:tmpl w:val="1CD8FBD4"/>
    <w:lvl w:ilvl="0" w:tplc="F6F82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162E68"/>
    <w:multiLevelType w:val="hybridMultilevel"/>
    <w:tmpl w:val="1E2E2AD6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A9B4EC8"/>
    <w:multiLevelType w:val="hybridMultilevel"/>
    <w:tmpl w:val="1924BD92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7F181343"/>
    <w:multiLevelType w:val="hybridMultilevel"/>
    <w:tmpl w:val="2CAAF11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50"/>
    <w:rsid w:val="00004EA7"/>
    <w:rsid w:val="000210FF"/>
    <w:rsid w:val="00026C36"/>
    <w:rsid w:val="0005270B"/>
    <w:rsid w:val="00054994"/>
    <w:rsid w:val="000A28EA"/>
    <w:rsid w:val="000C5D5D"/>
    <w:rsid w:val="000F1DC8"/>
    <w:rsid w:val="00105F34"/>
    <w:rsid w:val="00112C1A"/>
    <w:rsid w:val="00114203"/>
    <w:rsid w:val="00121FC2"/>
    <w:rsid w:val="00122724"/>
    <w:rsid w:val="0012432B"/>
    <w:rsid w:val="00131885"/>
    <w:rsid w:val="001377D0"/>
    <w:rsid w:val="0014029A"/>
    <w:rsid w:val="00160544"/>
    <w:rsid w:val="00165DE6"/>
    <w:rsid w:val="001873B0"/>
    <w:rsid w:val="001A7B49"/>
    <w:rsid w:val="001D6EB4"/>
    <w:rsid w:val="00231E89"/>
    <w:rsid w:val="00233F8A"/>
    <w:rsid w:val="00280A45"/>
    <w:rsid w:val="002C3B2B"/>
    <w:rsid w:val="003047EB"/>
    <w:rsid w:val="00306360"/>
    <w:rsid w:val="00320FDE"/>
    <w:rsid w:val="00347F49"/>
    <w:rsid w:val="0035145D"/>
    <w:rsid w:val="00351CC4"/>
    <w:rsid w:val="00371070"/>
    <w:rsid w:val="003805D2"/>
    <w:rsid w:val="00384C00"/>
    <w:rsid w:val="00386248"/>
    <w:rsid w:val="003D39C9"/>
    <w:rsid w:val="00401336"/>
    <w:rsid w:val="00402E68"/>
    <w:rsid w:val="00416C32"/>
    <w:rsid w:val="00425FE9"/>
    <w:rsid w:val="004644E5"/>
    <w:rsid w:val="00464EE4"/>
    <w:rsid w:val="0048282B"/>
    <w:rsid w:val="004861E4"/>
    <w:rsid w:val="004B3102"/>
    <w:rsid w:val="004B525D"/>
    <w:rsid w:val="004F0D7C"/>
    <w:rsid w:val="005031F9"/>
    <w:rsid w:val="0051170A"/>
    <w:rsid w:val="00527310"/>
    <w:rsid w:val="00534735"/>
    <w:rsid w:val="00535876"/>
    <w:rsid w:val="00560F2A"/>
    <w:rsid w:val="00583CE8"/>
    <w:rsid w:val="005D4E62"/>
    <w:rsid w:val="00625192"/>
    <w:rsid w:val="00637735"/>
    <w:rsid w:val="00637F08"/>
    <w:rsid w:val="006771FF"/>
    <w:rsid w:val="006C783C"/>
    <w:rsid w:val="006D4A93"/>
    <w:rsid w:val="00707D7B"/>
    <w:rsid w:val="00710A88"/>
    <w:rsid w:val="007212F0"/>
    <w:rsid w:val="00730A43"/>
    <w:rsid w:val="00735727"/>
    <w:rsid w:val="00781560"/>
    <w:rsid w:val="00786B3F"/>
    <w:rsid w:val="007B09E0"/>
    <w:rsid w:val="007B23C2"/>
    <w:rsid w:val="007D20BB"/>
    <w:rsid w:val="007E3D7F"/>
    <w:rsid w:val="007F6BC0"/>
    <w:rsid w:val="00801E52"/>
    <w:rsid w:val="00804F0C"/>
    <w:rsid w:val="00810EF5"/>
    <w:rsid w:val="00833BFF"/>
    <w:rsid w:val="008C5CC6"/>
    <w:rsid w:val="008D4F68"/>
    <w:rsid w:val="00915D4C"/>
    <w:rsid w:val="00936B9B"/>
    <w:rsid w:val="00945D8A"/>
    <w:rsid w:val="00963443"/>
    <w:rsid w:val="0096522A"/>
    <w:rsid w:val="009C4C3D"/>
    <w:rsid w:val="009D4D5B"/>
    <w:rsid w:val="009F16FA"/>
    <w:rsid w:val="00A3617A"/>
    <w:rsid w:val="00A54DF4"/>
    <w:rsid w:val="00A7562E"/>
    <w:rsid w:val="00A83B0E"/>
    <w:rsid w:val="00A946E1"/>
    <w:rsid w:val="00AA7E93"/>
    <w:rsid w:val="00AB1D50"/>
    <w:rsid w:val="00B20F5C"/>
    <w:rsid w:val="00B24CC5"/>
    <w:rsid w:val="00B261A8"/>
    <w:rsid w:val="00B33A6D"/>
    <w:rsid w:val="00B6310B"/>
    <w:rsid w:val="00B67D9A"/>
    <w:rsid w:val="00BE104C"/>
    <w:rsid w:val="00BE4AE0"/>
    <w:rsid w:val="00BF73CA"/>
    <w:rsid w:val="00C20E6D"/>
    <w:rsid w:val="00C22AF9"/>
    <w:rsid w:val="00C375FC"/>
    <w:rsid w:val="00C54343"/>
    <w:rsid w:val="00C57853"/>
    <w:rsid w:val="00C80D51"/>
    <w:rsid w:val="00CF415D"/>
    <w:rsid w:val="00CF5121"/>
    <w:rsid w:val="00D04AB8"/>
    <w:rsid w:val="00D26BAA"/>
    <w:rsid w:val="00D3066A"/>
    <w:rsid w:val="00D3153E"/>
    <w:rsid w:val="00D72CF2"/>
    <w:rsid w:val="00DA0DF1"/>
    <w:rsid w:val="00E117A3"/>
    <w:rsid w:val="00E5065A"/>
    <w:rsid w:val="00E71064"/>
    <w:rsid w:val="00EE25FC"/>
    <w:rsid w:val="00EF1F8A"/>
    <w:rsid w:val="00F053D1"/>
    <w:rsid w:val="00F40B75"/>
    <w:rsid w:val="00F53A8E"/>
    <w:rsid w:val="00F91769"/>
    <w:rsid w:val="00FA3E4C"/>
    <w:rsid w:val="00FC7AE0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ED19"/>
  <w15:docId w15:val="{C73C4488-2216-5C48-A931-DB100EE0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029A"/>
    <w:pPr>
      <w:keepNext/>
      <w:widowControl w:val="0"/>
      <w:spacing w:before="480" w:after="240" w:line="240" w:lineRule="auto"/>
      <w:jc w:val="center"/>
      <w:outlineLvl w:val="0"/>
    </w:pPr>
    <w:rPr>
      <w:rFonts w:ascii="Times New Roman" w:eastAsia="Times New Roman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34735"/>
    <w:pPr>
      <w:suppressAutoHyphen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34735"/>
    <w:rPr>
      <w:rFonts w:ascii="Times New Roman" w:eastAsia="Times New Roman" w:hAnsi="Times New Roman" w:cs="Times New Roman"/>
      <w:b/>
      <w:bCs/>
      <w:kern w:val="1"/>
      <w:sz w:val="28"/>
      <w:szCs w:val="24"/>
      <w:lang w:eastAsia="ru-RU"/>
    </w:rPr>
  </w:style>
  <w:style w:type="paragraph" w:styleId="a5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6"/>
    <w:uiPriority w:val="34"/>
    <w:qFormat/>
    <w:rsid w:val="00534735"/>
    <w:pPr>
      <w:ind w:left="720"/>
      <w:contextualSpacing/>
    </w:pPr>
  </w:style>
  <w:style w:type="character" w:styleId="a7">
    <w:name w:val="footnote reference"/>
    <w:aliases w:val="Знак сноски 1,Знак сноски-FN,Ciae niinee-FN,Referencia nota al pie,Ссылка на сноску 45,Appel note de bas de page,Footnote symbol,Footnotes refss,Fussnota,сноска,vnv,16 Point,Superscript 6 Point,Odwołanie przypisu,SUPERS,зс,Çíàê ñíîñêè-FN"/>
    <w:basedOn w:val="a0"/>
    <w:uiPriority w:val="99"/>
    <w:unhideWhenUsed/>
    <w:rsid w:val="00306360"/>
    <w:rPr>
      <w:vertAlign w:val="superscript"/>
    </w:rPr>
  </w:style>
  <w:style w:type="character" w:customStyle="1" w:styleId="a6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0"/>
    <w:link w:val="a5"/>
    <w:uiPriority w:val="34"/>
    <w:qFormat/>
    <w:rsid w:val="0014029A"/>
  </w:style>
  <w:style w:type="paragraph" w:styleId="a8">
    <w:name w:val="Balloon Text"/>
    <w:basedOn w:val="a"/>
    <w:link w:val="a9"/>
    <w:uiPriority w:val="99"/>
    <w:semiHidden/>
    <w:unhideWhenUsed/>
    <w:rsid w:val="00140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9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4029A"/>
    <w:rPr>
      <w:rFonts w:ascii="Times New Roman" w:eastAsia="Times New Roman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8C5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2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BAA"/>
  </w:style>
  <w:style w:type="paragraph" w:styleId="ac">
    <w:name w:val="footer"/>
    <w:basedOn w:val="a"/>
    <w:link w:val="ad"/>
    <w:uiPriority w:val="99"/>
    <w:unhideWhenUsed/>
    <w:rsid w:val="00D2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6BAA"/>
  </w:style>
  <w:style w:type="character" w:styleId="ae">
    <w:name w:val="page number"/>
    <w:basedOn w:val="a0"/>
    <w:uiPriority w:val="99"/>
    <w:semiHidden/>
    <w:unhideWhenUsed/>
    <w:rsid w:val="00D26BAA"/>
  </w:style>
  <w:style w:type="paragraph" w:styleId="af">
    <w:name w:val="footnote text"/>
    <w:basedOn w:val="a"/>
    <w:link w:val="af0"/>
    <w:uiPriority w:val="99"/>
    <w:semiHidden/>
    <w:unhideWhenUsed/>
    <w:rsid w:val="00810E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0EF5"/>
    <w:rPr>
      <w:sz w:val="20"/>
      <w:szCs w:val="20"/>
    </w:rPr>
  </w:style>
  <w:style w:type="character" w:styleId="af1">
    <w:name w:val="Hyperlink"/>
    <w:basedOn w:val="a0"/>
    <w:uiPriority w:val="99"/>
    <w:unhideWhenUsed/>
    <w:rsid w:val="00810E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osstat.gov.ru/storage/mediabank/jkh49.docx" TargetMode="External"/><Relationship Id="rId2" Type="http://schemas.openxmlformats.org/officeDocument/2006/relationships/hyperlink" Target="https://rosstat.gov.ru/storage/mediabank/mjil4.htm" TargetMode="External"/><Relationship Id="rId1" Type="http://schemas.openxmlformats.org/officeDocument/2006/relationships/hyperlink" Target="https://krasnogorsk.cian.ru/stati-stolichnye-shtuchki-polzujutsja-li-populjarnostju-apartamenty-3066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3E94-35FC-496D-839B-C910187F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Анатолий</dc:creator>
  <cp:lastModifiedBy>Пользователь</cp:lastModifiedBy>
  <cp:revision>2</cp:revision>
  <dcterms:created xsi:type="dcterms:W3CDTF">2021-02-04T15:38:00Z</dcterms:created>
  <dcterms:modified xsi:type="dcterms:W3CDTF">2021-02-04T15:38:00Z</dcterms:modified>
</cp:coreProperties>
</file>